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D089" w14:textId="53835358" w:rsidR="008707DB" w:rsidRPr="00D86F8E" w:rsidRDefault="21477DB7" w:rsidP="21477DB7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6F8E">
        <w:rPr>
          <w:b/>
          <w:bCs/>
          <w:sz w:val="28"/>
          <w:szCs w:val="28"/>
        </w:rPr>
        <w:t xml:space="preserve"> Пояснительная записка</w:t>
      </w:r>
    </w:p>
    <w:p w14:paraId="0A934B77" w14:textId="77777777" w:rsidR="008707DB" w:rsidRPr="00D86F8E" w:rsidRDefault="00132B05">
      <w:pPr>
        <w:ind w:firstLine="567"/>
        <w:jc w:val="center"/>
        <w:rPr>
          <w:b/>
          <w:sz w:val="28"/>
          <w:szCs w:val="28"/>
        </w:rPr>
      </w:pPr>
      <w:r w:rsidRPr="00D86F8E">
        <w:rPr>
          <w:b/>
          <w:sz w:val="28"/>
          <w:szCs w:val="28"/>
        </w:rPr>
        <w:t>к показателям оценки эффективности деятельности органов</w:t>
      </w:r>
    </w:p>
    <w:p w14:paraId="308CB1A4" w14:textId="540CD949" w:rsidR="008707DB" w:rsidRPr="00D86F8E" w:rsidRDefault="4BC497F4">
      <w:pPr>
        <w:ind w:firstLine="567"/>
        <w:jc w:val="center"/>
        <w:rPr>
          <w:sz w:val="28"/>
          <w:szCs w:val="28"/>
        </w:rPr>
      </w:pPr>
      <w:r w:rsidRPr="00D86F8E">
        <w:rPr>
          <w:b/>
          <w:bCs/>
          <w:sz w:val="28"/>
          <w:szCs w:val="28"/>
        </w:rPr>
        <w:t xml:space="preserve">местного самоуправления   МО </w:t>
      </w:r>
      <w:r w:rsidR="00132B05" w:rsidRPr="00D86F8E">
        <w:rPr>
          <w:b/>
          <w:bCs/>
          <w:sz w:val="28"/>
          <w:szCs w:val="28"/>
        </w:rPr>
        <w:t>«</w:t>
      </w:r>
      <w:r w:rsidRPr="00D86F8E">
        <w:rPr>
          <w:b/>
          <w:bCs/>
          <w:sz w:val="28"/>
          <w:szCs w:val="28"/>
        </w:rPr>
        <w:t>Усть-Коксинский район</w:t>
      </w:r>
      <w:r w:rsidR="00132B05" w:rsidRPr="00D86F8E">
        <w:rPr>
          <w:b/>
          <w:bCs/>
          <w:sz w:val="28"/>
          <w:szCs w:val="28"/>
        </w:rPr>
        <w:t>»</w:t>
      </w:r>
      <w:r w:rsidRPr="00D86F8E">
        <w:rPr>
          <w:b/>
          <w:bCs/>
          <w:sz w:val="28"/>
          <w:szCs w:val="28"/>
        </w:rPr>
        <w:t xml:space="preserve"> за 2020 год</w:t>
      </w:r>
    </w:p>
    <w:p w14:paraId="672A6659" w14:textId="77777777" w:rsidR="008707DB" w:rsidRPr="00D86F8E" w:rsidRDefault="008707DB">
      <w:pPr>
        <w:ind w:firstLine="567"/>
        <w:jc w:val="both"/>
        <w:rPr>
          <w:b/>
          <w:sz w:val="28"/>
          <w:szCs w:val="28"/>
        </w:rPr>
      </w:pPr>
    </w:p>
    <w:p w14:paraId="23CB5068" w14:textId="2C803341" w:rsidR="008707DB" w:rsidRPr="00D86F8E" w:rsidRDefault="2AC4BC3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2AC4BC31">
        <w:rPr>
          <w:rFonts w:eastAsia="Calibri"/>
          <w:sz w:val="28"/>
          <w:szCs w:val="28"/>
          <w:lang w:eastAsia="en-US"/>
        </w:rPr>
        <w:t>МО «Усть-Коксинский район» расположен в горно-степной зоне</w:t>
      </w:r>
      <w:r w:rsidRPr="2AC4BC31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2AC4BC31">
        <w:rPr>
          <w:rFonts w:eastAsia="Calibri"/>
          <w:sz w:val="28"/>
          <w:szCs w:val="28"/>
          <w:lang w:eastAsia="en-US"/>
        </w:rPr>
        <w:t xml:space="preserve">западной части Республики Алтай. Площадь территории муниципального образования составляет </w:t>
      </w:r>
      <w:r w:rsidRPr="2AC4BC31">
        <w:rPr>
          <w:sz w:val="28"/>
          <w:szCs w:val="28"/>
        </w:rPr>
        <w:t xml:space="preserve">12951,86 км² (13,9 % от площади республики). </w:t>
      </w:r>
      <w:r w:rsidRPr="2AC4BC31">
        <w:rPr>
          <w:rFonts w:eastAsia="Calibri"/>
          <w:sz w:val="28"/>
          <w:szCs w:val="28"/>
          <w:lang w:eastAsia="en-US"/>
        </w:rPr>
        <w:t xml:space="preserve">В состав входят 9 сельских поселений, 42 населенных пункта. Административный центр – село Усть-Кокса находится на расстоянии  420 км от республиканского центра г. Горно-Алтайска. </w:t>
      </w:r>
    </w:p>
    <w:p w14:paraId="1D99D2A5" w14:textId="464492F3" w:rsidR="008707DB" w:rsidRPr="00D86F8E" w:rsidRDefault="178B503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86F8E">
        <w:rPr>
          <w:sz w:val="28"/>
          <w:szCs w:val="28"/>
          <w:lang w:eastAsia="en-US"/>
        </w:rPr>
        <w:t>Численность населения (на 01.01.2021</w:t>
      </w:r>
      <w:r w:rsidRPr="00D86F8E">
        <w:rPr>
          <w:sz w:val="28"/>
          <w:szCs w:val="28"/>
          <w:lang w:val="en-US" w:eastAsia="en-US"/>
        </w:rPr>
        <w:t> </w:t>
      </w:r>
      <w:r w:rsidRPr="00D86F8E">
        <w:rPr>
          <w:sz w:val="28"/>
          <w:szCs w:val="28"/>
          <w:lang w:eastAsia="en-US"/>
        </w:rPr>
        <w:t>г.) – 15</w:t>
      </w:r>
      <w:r w:rsidR="00E34439" w:rsidRPr="00D86F8E">
        <w:rPr>
          <w:sz w:val="28"/>
          <w:szCs w:val="28"/>
          <w:lang w:eastAsia="en-US"/>
        </w:rPr>
        <w:t xml:space="preserve"> </w:t>
      </w:r>
      <w:r w:rsidRPr="00D86F8E">
        <w:rPr>
          <w:sz w:val="28"/>
          <w:szCs w:val="28"/>
          <w:lang w:eastAsia="en-US"/>
        </w:rPr>
        <w:t xml:space="preserve">981 </w:t>
      </w:r>
      <w:r w:rsidR="00E34439" w:rsidRPr="00D86F8E">
        <w:rPr>
          <w:sz w:val="28"/>
          <w:szCs w:val="28"/>
          <w:lang w:eastAsia="en-US"/>
        </w:rPr>
        <w:t>чел.</w:t>
      </w:r>
      <w:r w:rsidRPr="00D86F8E">
        <w:rPr>
          <w:sz w:val="28"/>
          <w:szCs w:val="28"/>
          <w:lang w:eastAsia="en-US"/>
        </w:rPr>
        <w:t>:</w:t>
      </w:r>
    </w:p>
    <w:tbl>
      <w:tblPr>
        <w:tblW w:w="9474" w:type="dxa"/>
        <w:tblInd w:w="-11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227"/>
        <w:gridCol w:w="2820"/>
        <w:gridCol w:w="3427"/>
      </w:tblGrid>
      <w:tr w:rsidR="008707DB" w:rsidRPr="00D86F8E" w14:paraId="616FF0CC" w14:textId="77777777" w:rsidTr="32428450">
        <w:trPr>
          <w:trHeight w:val="986"/>
        </w:trPr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1"/>
            </w:tblGrid>
            <w:tr w:rsidR="178B5035" w:rsidRPr="00D86F8E" w14:paraId="5A2DA252" w14:textId="77777777" w:rsidTr="178B5035">
              <w:tc>
                <w:tcPr>
                  <w:tcW w:w="3015" w:type="dxa"/>
                </w:tcPr>
                <w:p w14:paraId="7E54A145" w14:textId="416746CF" w:rsidR="178B5035" w:rsidRPr="00D86F8E" w:rsidRDefault="178B5035" w:rsidP="178B503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86F8E">
                    <w:rPr>
                      <w:sz w:val="28"/>
                      <w:szCs w:val="28"/>
                    </w:rPr>
                    <w:t>Наименование сельского поселения</w:t>
                  </w:r>
                </w:p>
              </w:tc>
            </w:tr>
          </w:tbl>
          <w:p w14:paraId="4DB1FF74" w14:textId="77777777" w:rsidR="008707DB" w:rsidRPr="00D86F8E" w:rsidRDefault="008707DB" w:rsidP="178B5035">
            <w:pPr>
              <w:widowControl w:val="0"/>
              <w:autoSpaceDE w:val="0"/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D222D2" w14:textId="77777777" w:rsidR="008707DB" w:rsidRPr="00D86F8E" w:rsidRDefault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1D00DDFC">
              <w:rPr>
                <w:spacing w:val="-8"/>
                <w:sz w:val="28"/>
                <w:szCs w:val="28"/>
              </w:rPr>
              <w:t>Численность на 01.01.2021 г., чел.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97BF42" w14:textId="77777777" w:rsidR="008707DB" w:rsidRPr="00D86F8E" w:rsidRDefault="00132B05" w:rsidP="178B5035">
            <w:pPr>
              <w:widowControl w:val="0"/>
              <w:autoSpaceDE w:val="0"/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D86F8E">
              <w:rPr>
                <w:spacing w:val="-8"/>
                <w:sz w:val="28"/>
                <w:szCs w:val="28"/>
              </w:rPr>
              <w:t>Адрес официального сайта сельского поселения</w:t>
            </w:r>
          </w:p>
        </w:tc>
      </w:tr>
      <w:tr w:rsidR="008707DB" w:rsidRPr="00D86F8E" w14:paraId="0A37501D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B6C7B" w14:textId="77777777" w:rsidR="008707DB" w:rsidRPr="00D86F8E" w:rsidRDefault="178B5035" w:rsidP="178B5035">
            <w:pPr>
              <w:snapToGrid w:val="0"/>
              <w:spacing w:line="276" w:lineRule="auto"/>
              <w:rPr>
                <w:spacing w:val="-8"/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Амурское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B378F" w14:textId="637D7BB5" w:rsidR="008707DB" w:rsidRPr="00D86F8E" w:rsidRDefault="178B503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1</w:t>
            </w:r>
            <w:r w:rsidR="00E34439" w:rsidRPr="00D86F8E">
              <w:rPr>
                <w:color w:val="70AD47" w:themeColor="accent6"/>
                <w:sz w:val="28"/>
                <w:szCs w:val="28"/>
                <w:lang w:eastAsia="en-US"/>
              </w:rPr>
              <w:t xml:space="preserve"> </w:t>
            </w: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60"/>
            </w:tblGrid>
            <w:tr w:rsidR="178B5035" w:rsidRPr="00D86F8E" w14:paraId="1B6B8EC5" w14:textId="77777777" w:rsidTr="32428450">
              <w:tc>
                <w:tcPr>
                  <w:tcW w:w="3060" w:type="dxa"/>
                </w:tcPr>
                <w:p w14:paraId="4D0A46B5" w14:textId="20F234AE" w:rsidR="00FB5669" w:rsidRPr="00D86F8E" w:rsidRDefault="32428450" w:rsidP="5AFEF7B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32428450">
                    <w:rPr>
                      <w:sz w:val="24"/>
                      <w:szCs w:val="24"/>
                    </w:rPr>
                    <w:t>https://амурское-адм.рф/</w:t>
                  </w:r>
                </w:p>
              </w:tc>
            </w:tr>
          </w:tbl>
          <w:p w14:paraId="6A05A809" w14:textId="77777777" w:rsidR="008707DB" w:rsidRPr="00D86F8E" w:rsidRDefault="008707DB" w:rsidP="5AFEF7BD">
            <w:pPr>
              <w:widowControl w:val="0"/>
              <w:autoSpaceDE w:val="0"/>
              <w:snapToGrid w:val="0"/>
              <w:spacing w:line="276" w:lineRule="auto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8707DB" w:rsidRPr="00D86F8E" w14:paraId="5A39BBE3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C8F396" w14:textId="63400B1A" w:rsidR="008707DB" w:rsidRPr="00D86F8E" w:rsidRDefault="178B5035">
            <w:pPr>
              <w:snapToGrid w:val="0"/>
              <w:spacing w:line="276" w:lineRule="auto"/>
              <w:rPr>
                <w:spacing w:val="-8"/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Верх-Уймонское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3D3EC" w14:textId="2170125F" w:rsidR="008707DB" w:rsidRPr="00D86F8E" w:rsidRDefault="178B503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2</w:t>
            </w:r>
            <w:r w:rsidR="00E34439" w:rsidRPr="00D86F8E">
              <w:rPr>
                <w:color w:val="70AD47" w:themeColor="accent6"/>
                <w:sz w:val="28"/>
                <w:szCs w:val="28"/>
                <w:lang w:eastAsia="en-US"/>
              </w:rPr>
              <w:t xml:space="preserve"> </w:t>
            </w: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60"/>
            </w:tblGrid>
            <w:tr w:rsidR="178B5035" w:rsidRPr="00D86F8E" w14:paraId="32830A14" w14:textId="77777777" w:rsidTr="5AFEF7BD">
              <w:tc>
                <w:tcPr>
                  <w:tcW w:w="3060" w:type="dxa"/>
                </w:tcPr>
                <w:p w14:paraId="1B04725E" w14:textId="44676F5E" w:rsidR="178B5035" w:rsidRPr="00D86F8E" w:rsidRDefault="00AD1863" w:rsidP="5AFEF7BD">
                  <w:pPr>
                    <w:spacing w:line="276" w:lineRule="auto"/>
                    <w:rPr>
                      <w:rStyle w:val="ae"/>
                      <w:color w:val="0000FF"/>
                      <w:sz w:val="28"/>
                      <w:szCs w:val="28"/>
                    </w:rPr>
                  </w:pPr>
                  <w:hyperlink r:id="rId6">
                    <w:r w:rsidR="5AFEF7BD" w:rsidRPr="5AFEF7BD">
                      <w:rPr>
                        <w:rStyle w:val="ae"/>
                        <w:sz w:val="28"/>
                        <w:szCs w:val="28"/>
                      </w:rPr>
                      <w:t>http://verh-uimon.ru/</w:t>
                    </w:r>
                  </w:hyperlink>
                </w:p>
                <w:p w14:paraId="5F28E8C5" w14:textId="707D3A56" w:rsidR="178B5035" w:rsidRPr="00D86F8E" w:rsidRDefault="178B5035" w:rsidP="5AFEF7BD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D0B940D" w14:textId="77777777" w:rsidR="008707DB" w:rsidRPr="00D86F8E" w:rsidRDefault="008707DB">
            <w:pPr>
              <w:widowControl w:val="0"/>
              <w:autoSpaceDE w:val="0"/>
              <w:snapToGrid w:val="0"/>
              <w:spacing w:line="276" w:lineRule="auto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8707DB" w:rsidRPr="00D86F8E" w14:paraId="0E27B00A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61E4C" w14:textId="304AE0F1" w:rsidR="008707DB" w:rsidRPr="00D86F8E" w:rsidRDefault="178B5035">
            <w:pPr>
              <w:snapToGrid w:val="0"/>
              <w:spacing w:line="276" w:lineRule="auto"/>
              <w:rPr>
                <w:spacing w:val="-8"/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Горбуновское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EAFD9C" w14:textId="77777777" w:rsidR="008707DB" w:rsidRPr="00D86F8E" w:rsidRDefault="178B503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956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4D5A5" w14:textId="341E9E00" w:rsidR="008707DB" w:rsidRPr="00D86F8E" w:rsidRDefault="5AFEF7BD" w:rsidP="5AFEF7BD">
            <w:pPr>
              <w:widowControl w:val="0"/>
              <w:autoSpaceDE w:val="0"/>
              <w:snapToGrid w:val="0"/>
              <w:spacing w:line="276" w:lineRule="auto"/>
            </w:pPr>
            <w:r w:rsidRPr="5AFEF7BD">
              <w:rPr>
                <w:sz w:val="28"/>
                <w:szCs w:val="28"/>
              </w:rPr>
              <w:t>http://spgorbunovo.ru/</w:t>
            </w:r>
          </w:p>
        </w:tc>
      </w:tr>
      <w:tr w:rsidR="178B5035" w:rsidRPr="00D86F8E" w14:paraId="0A9612B2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CCD269" w14:textId="5649861C" w:rsidR="178B5035" w:rsidRPr="00D86F8E" w:rsidRDefault="178B5035" w:rsidP="178B5035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Карагайское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3155F1" w14:textId="3608F1B0" w:rsidR="178B5035" w:rsidRPr="00D86F8E" w:rsidRDefault="178B5035" w:rsidP="178B5035">
            <w:pPr>
              <w:spacing w:line="276" w:lineRule="auto"/>
              <w:jc w:val="center"/>
              <w:rPr>
                <w:color w:val="70AD47" w:themeColor="accent6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741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F9E6B97" w14:textId="41B43855" w:rsidR="178B5035" w:rsidRPr="00D86F8E" w:rsidRDefault="5AFEF7BD" w:rsidP="5AFEF7BD">
            <w:pPr>
              <w:spacing w:line="276" w:lineRule="auto"/>
            </w:pPr>
            <w:r w:rsidRPr="5AFEF7BD">
              <w:rPr>
                <w:sz w:val="28"/>
                <w:szCs w:val="28"/>
              </w:rPr>
              <w:t>https://xn--80aaallxcf0bop.xn--p1ai/</w:t>
            </w:r>
          </w:p>
        </w:tc>
      </w:tr>
      <w:tr w:rsidR="178B5035" w:rsidRPr="00D86F8E" w14:paraId="27C9B89F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ACBCF" w14:textId="23398768" w:rsidR="178B5035" w:rsidRPr="00D86F8E" w:rsidRDefault="178B5035" w:rsidP="178B5035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Катандинское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C41DE" w14:textId="5A08DF6C" w:rsidR="178B5035" w:rsidRPr="00D86F8E" w:rsidRDefault="178B5035" w:rsidP="178B5035">
            <w:pPr>
              <w:spacing w:line="276" w:lineRule="auto"/>
              <w:jc w:val="center"/>
              <w:rPr>
                <w:color w:val="70AD47" w:themeColor="accent6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1</w:t>
            </w:r>
            <w:r w:rsidR="00E34439" w:rsidRPr="00D86F8E">
              <w:rPr>
                <w:color w:val="70AD47" w:themeColor="accent6"/>
                <w:sz w:val="28"/>
                <w:szCs w:val="28"/>
                <w:lang w:eastAsia="en-US"/>
              </w:rPr>
              <w:t xml:space="preserve"> </w:t>
            </w: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468CEC" w14:textId="4BE14B7E" w:rsidR="178B5035" w:rsidRPr="00D86F8E" w:rsidRDefault="5AFEF7BD" w:rsidP="5AFEF7BD">
            <w:pPr>
              <w:spacing w:line="276" w:lineRule="auto"/>
            </w:pPr>
            <w:r w:rsidRPr="5AFEF7BD">
              <w:rPr>
                <w:sz w:val="28"/>
                <w:szCs w:val="28"/>
              </w:rPr>
              <w:t>http://admkatanda.ru/</w:t>
            </w:r>
          </w:p>
        </w:tc>
      </w:tr>
      <w:tr w:rsidR="178B5035" w:rsidRPr="00D86F8E" w14:paraId="581B843E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E3C522" w14:textId="2146D064" w:rsidR="178B5035" w:rsidRPr="00D86F8E" w:rsidRDefault="178B5035" w:rsidP="178B5035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Огневское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72985" w14:textId="11969CC5" w:rsidR="178B5035" w:rsidRPr="00D86F8E" w:rsidRDefault="2AC4BC31" w:rsidP="178B5035">
            <w:pPr>
              <w:spacing w:line="276" w:lineRule="auto"/>
              <w:jc w:val="center"/>
              <w:rPr>
                <w:color w:val="70AD47" w:themeColor="accent6"/>
                <w:sz w:val="28"/>
                <w:szCs w:val="28"/>
                <w:lang w:eastAsia="en-US"/>
              </w:rPr>
            </w:pPr>
            <w:r w:rsidRPr="2AC4BC31">
              <w:rPr>
                <w:color w:val="70AD47" w:themeColor="accent6"/>
                <w:sz w:val="28"/>
                <w:szCs w:val="28"/>
                <w:lang w:eastAsia="en-US"/>
              </w:rPr>
              <w:t>1 390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B68E3C" w14:textId="6EACEB57" w:rsidR="178B5035" w:rsidRPr="00D86F8E" w:rsidRDefault="2AC4BC31" w:rsidP="2AC4BC31">
            <w:pPr>
              <w:spacing w:line="276" w:lineRule="auto"/>
              <w:rPr>
                <w:sz w:val="28"/>
                <w:szCs w:val="28"/>
              </w:rPr>
            </w:pPr>
            <w:r w:rsidRPr="2AC4BC31">
              <w:rPr>
                <w:sz w:val="28"/>
                <w:szCs w:val="28"/>
              </w:rPr>
              <w:t>http://oghnievka.ru</w:t>
            </w:r>
          </w:p>
        </w:tc>
      </w:tr>
      <w:tr w:rsidR="178B5035" w:rsidRPr="00D86F8E" w14:paraId="101312A8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1A3E12" w14:textId="6DE3F156" w:rsidR="178B5035" w:rsidRPr="00D86F8E" w:rsidRDefault="178B5035" w:rsidP="178B5035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Талдинское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DB640" w14:textId="33FD258F" w:rsidR="178B5035" w:rsidRPr="00D86F8E" w:rsidRDefault="178B5035" w:rsidP="178B5035">
            <w:pPr>
              <w:spacing w:line="276" w:lineRule="auto"/>
              <w:jc w:val="center"/>
              <w:rPr>
                <w:color w:val="70AD47" w:themeColor="accent6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1</w:t>
            </w:r>
            <w:r w:rsidR="00E34439" w:rsidRPr="00D86F8E">
              <w:rPr>
                <w:color w:val="70AD47" w:themeColor="accent6"/>
                <w:sz w:val="28"/>
                <w:szCs w:val="28"/>
                <w:lang w:eastAsia="en-US"/>
              </w:rPr>
              <w:t xml:space="preserve"> </w:t>
            </w: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EE4239F" w14:textId="324F55EA" w:rsidR="178B5035" w:rsidRPr="00D86F8E" w:rsidRDefault="5AFEF7BD" w:rsidP="5AFEF7BD">
            <w:pPr>
              <w:spacing w:line="276" w:lineRule="auto"/>
            </w:pPr>
            <w:r w:rsidRPr="5AFEF7BD">
              <w:rPr>
                <w:sz w:val="28"/>
                <w:szCs w:val="28"/>
              </w:rPr>
              <w:t>https://taldinskoe.ru/</w:t>
            </w:r>
          </w:p>
        </w:tc>
      </w:tr>
      <w:tr w:rsidR="178B5035" w:rsidRPr="00D86F8E" w14:paraId="236CC4C6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7C99C" w14:textId="43BC0C84" w:rsidR="178B5035" w:rsidRPr="00D86F8E" w:rsidRDefault="178B5035" w:rsidP="178B5035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Усть-Коксинское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BDF992" w14:textId="1DA3E7B7" w:rsidR="178B5035" w:rsidRPr="00D86F8E" w:rsidRDefault="178B5035" w:rsidP="178B5035">
            <w:pPr>
              <w:spacing w:line="276" w:lineRule="auto"/>
              <w:jc w:val="center"/>
              <w:rPr>
                <w:color w:val="70AD47" w:themeColor="accent6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5</w:t>
            </w:r>
            <w:r w:rsidR="00E34439" w:rsidRPr="00D86F8E">
              <w:rPr>
                <w:color w:val="70AD47" w:themeColor="accent6"/>
                <w:sz w:val="28"/>
                <w:szCs w:val="28"/>
                <w:lang w:eastAsia="en-US"/>
              </w:rPr>
              <w:t xml:space="preserve"> </w:t>
            </w: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577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BC7B32" w14:textId="6CD41416" w:rsidR="178B5035" w:rsidRPr="00D86F8E" w:rsidRDefault="5AFEF7BD" w:rsidP="5AFEF7BD">
            <w:pPr>
              <w:spacing w:line="276" w:lineRule="auto"/>
            </w:pPr>
            <w:r w:rsidRPr="5AFEF7BD">
              <w:rPr>
                <w:sz w:val="28"/>
                <w:szCs w:val="28"/>
              </w:rPr>
              <w:t>http://ustkoksa.ru/</w:t>
            </w:r>
          </w:p>
        </w:tc>
      </w:tr>
      <w:tr w:rsidR="178B5035" w:rsidRPr="00D86F8E" w14:paraId="1C981270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59E232" w14:textId="4B295CAA" w:rsidR="178B5035" w:rsidRPr="00D86F8E" w:rsidRDefault="178B5035" w:rsidP="178B5035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Чендекское сельское поселение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6930E2" w14:textId="1B8D7A92" w:rsidR="178B5035" w:rsidRPr="00D86F8E" w:rsidRDefault="178B5035" w:rsidP="178B5035">
            <w:pPr>
              <w:spacing w:line="276" w:lineRule="auto"/>
              <w:jc w:val="center"/>
              <w:rPr>
                <w:color w:val="70AD47" w:themeColor="accent6"/>
                <w:sz w:val="28"/>
                <w:szCs w:val="28"/>
                <w:lang w:eastAsia="en-US"/>
              </w:rPr>
            </w:pP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1</w:t>
            </w:r>
            <w:r w:rsidR="00E34439" w:rsidRPr="00D86F8E">
              <w:rPr>
                <w:color w:val="70AD47" w:themeColor="accent6"/>
                <w:sz w:val="28"/>
                <w:szCs w:val="28"/>
                <w:lang w:eastAsia="en-US"/>
              </w:rPr>
              <w:t xml:space="preserve"> </w:t>
            </w:r>
            <w:r w:rsidRPr="00D86F8E">
              <w:rPr>
                <w:color w:val="70AD47" w:themeColor="accent6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10"/>
            </w:tblGrid>
            <w:tr w:rsidR="178B5035" w:rsidRPr="00D86F8E" w14:paraId="1683586B" w14:textId="77777777" w:rsidTr="5AFEF7BD">
              <w:tc>
                <w:tcPr>
                  <w:tcW w:w="3210" w:type="dxa"/>
                </w:tcPr>
                <w:p w14:paraId="725852D0" w14:textId="6714CA7F" w:rsidR="178B5035" w:rsidRPr="00D86F8E" w:rsidRDefault="5AFEF7BD" w:rsidP="5AFEF7BD">
                  <w:pPr>
                    <w:spacing w:line="276" w:lineRule="auto"/>
                  </w:pPr>
                  <w:r w:rsidRPr="5AFEF7BD">
                    <w:rPr>
                      <w:sz w:val="28"/>
                      <w:szCs w:val="28"/>
                    </w:rPr>
                    <w:t>http://admchendek.ru/</w:t>
                  </w:r>
                </w:p>
              </w:tc>
            </w:tr>
          </w:tbl>
          <w:p w14:paraId="4D9BF814" w14:textId="7008B0FA" w:rsidR="178B5035" w:rsidRPr="00D86F8E" w:rsidRDefault="178B5035" w:rsidP="178B5035">
            <w:pPr>
              <w:spacing w:line="276" w:lineRule="auto"/>
              <w:rPr>
                <w:color w:val="70AD47" w:themeColor="accent6"/>
                <w:sz w:val="28"/>
                <w:szCs w:val="28"/>
                <w:lang w:eastAsia="en-US"/>
              </w:rPr>
            </w:pPr>
          </w:p>
        </w:tc>
      </w:tr>
      <w:tr w:rsidR="008707DB" w:rsidRPr="00D86F8E" w14:paraId="6BFAC934" w14:textId="77777777" w:rsidTr="32428450">
        <w:tc>
          <w:tcPr>
            <w:tcW w:w="32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3B17F3" w14:textId="690E26E8" w:rsidR="008707DB" w:rsidRPr="00D86F8E" w:rsidRDefault="178B5035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Всего по Усть-Коксинскому муниципальному образованию</w:t>
            </w:r>
          </w:p>
        </w:tc>
        <w:tc>
          <w:tcPr>
            <w:tcW w:w="2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3DEEC669" w14:textId="7C7B26D3" w:rsidR="008707DB" w:rsidRPr="00D86F8E" w:rsidRDefault="178B5035" w:rsidP="178B503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15</w:t>
            </w:r>
            <w:r w:rsidR="00E34439" w:rsidRPr="00D86F8E">
              <w:rPr>
                <w:sz w:val="28"/>
                <w:szCs w:val="28"/>
              </w:rPr>
              <w:t xml:space="preserve"> </w:t>
            </w:r>
            <w:r w:rsidRPr="00D86F8E">
              <w:rPr>
                <w:sz w:val="28"/>
                <w:szCs w:val="28"/>
              </w:rPr>
              <w:t>981</w:t>
            </w:r>
          </w:p>
        </w:tc>
        <w:tc>
          <w:tcPr>
            <w:tcW w:w="3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56B9AB" w14:textId="5A1A121C" w:rsidR="008707DB" w:rsidRPr="00D86F8E" w:rsidRDefault="178B5035" w:rsidP="178B5035">
            <w:pPr>
              <w:widowControl w:val="0"/>
              <w:autoSpaceDE w:val="0"/>
              <w:snapToGrid w:val="0"/>
              <w:spacing w:line="276" w:lineRule="auto"/>
              <w:rPr>
                <w:spacing w:val="-8"/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http://ust-koksa-altay.ru/</w:t>
            </w:r>
          </w:p>
        </w:tc>
      </w:tr>
    </w:tbl>
    <w:p w14:paraId="45FB0818" w14:textId="77777777" w:rsidR="008707DB" w:rsidRPr="00D86F8E" w:rsidRDefault="008707D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</w:p>
    <w:p w14:paraId="7B616FB8" w14:textId="5A9D5F07" w:rsidR="008707DB" w:rsidRPr="00D86F8E" w:rsidRDefault="00132B05" w:rsidP="4BC497F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pacing w:val="-4"/>
          <w:sz w:val="28"/>
          <w:szCs w:val="28"/>
        </w:rPr>
        <w:lastRenderedPageBreak/>
        <w:t>Д</w:t>
      </w:r>
      <w:r w:rsidRPr="00D86F8E">
        <w:rPr>
          <w:spacing w:val="-3"/>
          <w:sz w:val="28"/>
          <w:szCs w:val="28"/>
        </w:rPr>
        <w:t>оклад главы муниципального района о достигнутых значениях показателей для оценки эф</w:t>
      </w:r>
      <w:r w:rsidRPr="00D86F8E">
        <w:rPr>
          <w:spacing w:val="-4"/>
          <w:sz w:val="28"/>
          <w:szCs w:val="28"/>
        </w:rPr>
        <w:t xml:space="preserve">фективности деятельности органов местного самоуправления городского округа и </w:t>
      </w:r>
      <w:r w:rsidRPr="00D86F8E">
        <w:rPr>
          <w:spacing w:val="-3"/>
          <w:sz w:val="28"/>
          <w:szCs w:val="28"/>
        </w:rPr>
        <w:t>муниципальных районов в Республике Алтай за 2020 год подготовлен на основе статистических данных Алтайкрайстата, ведомственной статистики, сформированной исполнительными органами государственной власти Республики Алтай, а также данных ведомственной статистики муниципального образования.</w:t>
      </w:r>
    </w:p>
    <w:p w14:paraId="38AE012A" w14:textId="77777777" w:rsidR="008707DB" w:rsidRPr="00D86F8E" w:rsidRDefault="00132B05" w:rsidP="178B5035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pacing w:val="-4"/>
          <w:sz w:val="28"/>
          <w:szCs w:val="28"/>
        </w:rPr>
        <w:t>Итоги оценки эффективности деятельности органов местного самоуправле</w:t>
      </w:r>
      <w:r w:rsidRPr="00D86F8E">
        <w:rPr>
          <w:spacing w:val="-4"/>
          <w:sz w:val="28"/>
          <w:szCs w:val="28"/>
        </w:rPr>
        <w:softHyphen/>
      </w:r>
      <w:r w:rsidRPr="00D86F8E">
        <w:rPr>
          <w:spacing w:val="-3"/>
          <w:sz w:val="28"/>
          <w:szCs w:val="28"/>
        </w:rPr>
        <w:t>ния   муниципального района в Республике Алтай определены по 9 разделам: экономическое развитие</w:t>
      </w:r>
      <w:r w:rsidRPr="00D86F8E">
        <w:rPr>
          <w:spacing w:val="-4"/>
          <w:sz w:val="28"/>
          <w:szCs w:val="28"/>
        </w:rPr>
        <w:t>,</w:t>
      </w:r>
      <w:r w:rsidRPr="00D86F8E">
        <w:rPr>
          <w:spacing w:val="-2"/>
          <w:sz w:val="28"/>
          <w:szCs w:val="28"/>
        </w:rPr>
        <w:t xml:space="preserve"> дошкольное образование, общее и дополнительное образование, культура, </w:t>
      </w:r>
      <w:r w:rsidRPr="00D86F8E">
        <w:rPr>
          <w:spacing w:val="-3"/>
          <w:sz w:val="28"/>
          <w:szCs w:val="28"/>
        </w:rPr>
        <w:t>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</w:p>
    <w:p w14:paraId="223C8E85" w14:textId="77777777" w:rsidR="008707DB" w:rsidRPr="00D86F8E" w:rsidRDefault="00132B05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D86F8E">
        <w:rPr>
          <w:spacing w:val="-2"/>
          <w:sz w:val="28"/>
          <w:szCs w:val="28"/>
        </w:rPr>
        <w:t xml:space="preserve">Оценка эффективности деятельности органов местного самоуправления </w:t>
      </w:r>
      <w:r w:rsidRPr="00D86F8E">
        <w:rPr>
          <w:spacing w:val="-4"/>
          <w:sz w:val="28"/>
          <w:szCs w:val="28"/>
        </w:rPr>
        <w:t xml:space="preserve">создает предпосылки для системного исследования результативности управления </w:t>
      </w:r>
      <w:r w:rsidRPr="00D86F8E">
        <w:rPr>
          <w:spacing w:val="-3"/>
          <w:sz w:val="28"/>
          <w:szCs w:val="28"/>
        </w:rPr>
        <w:t>муниципальным образованием, принятия решений и мер по дальнейшему со</w:t>
      </w:r>
      <w:r w:rsidRPr="00D86F8E">
        <w:rPr>
          <w:spacing w:val="-3"/>
          <w:sz w:val="28"/>
          <w:szCs w:val="28"/>
        </w:rPr>
        <w:softHyphen/>
        <w:t>вершенствованию муниципального управления.</w:t>
      </w:r>
    </w:p>
    <w:p w14:paraId="049F31CB" w14:textId="77777777" w:rsidR="008707DB" w:rsidRPr="00D86F8E" w:rsidRDefault="008707DB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</w:p>
    <w:p w14:paraId="53128261" w14:textId="77777777" w:rsidR="008707DB" w:rsidRPr="00D86F8E" w:rsidRDefault="008707DB">
      <w:pPr>
        <w:rPr>
          <w:b/>
          <w:spacing w:val="-4"/>
          <w:sz w:val="28"/>
          <w:szCs w:val="28"/>
        </w:rPr>
      </w:pPr>
    </w:p>
    <w:p w14:paraId="7AE8A75E" w14:textId="77777777" w:rsidR="008707DB" w:rsidRPr="00D86F8E" w:rsidRDefault="00132B05" w:rsidP="21C5AB2C">
      <w:pPr>
        <w:numPr>
          <w:ilvl w:val="0"/>
          <w:numId w:val="4"/>
        </w:numPr>
        <w:jc w:val="center"/>
        <w:rPr>
          <w:b/>
          <w:bCs/>
          <w:spacing w:val="-4"/>
          <w:sz w:val="28"/>
          <w:szCs w:val="28"/>
        </w:rPr>
      </w:pPr>
      <w:r w:rsidRPr="00D86F8E">
        <w:rPr>
          <w:b/>
          <w:bCs/>
          <w:spacing w:val="-4"/>
          <w:sz w:val="28"/>
          <w:szCs w:val="28"/>
        </w:rPr>
        <w:t>Экономическое развитие</w:t>
      </w:r>
    </w:p>
    <w:p w14:paraId="60BDF732" w14:textId="60445D63" w:rsidR="21C5AB2C" w:rsidRPr="00D86F8E" w:rsidRDefault="21C5AB2C" w:rsidP="21C5AB2C">
      <w:pPr>
        <w:jc w:val="both"/>
        <w:rPr>
          <w:b/>
          <w:bCs/>
          <w:sz w:val="28"/>
          <w:szCs w:val="28"/>
        </w:rPr>
      </w:pPr>
    </w:p>
    <w:p w14:paraId="6959AC7B" w14:textId="6B9B0D2E" w:rsidR="21C5AB2C" w:rsidRPr="00D86F8E" w:rsidRDefault="5893F039" w:rsidP="21C5AB2C">
      <w:pPr>
        <w:spacing w:line="257" w:lineRule="auto"/>
        <w:ind w:firstLine="567"/>
        <w:jc w:val="both"/>
        <w:rPr>
          <w:sz w:val="28"/>
          <w:szCs w:val="28"/>
        </w:rPr>
      </w:pPr>
      <w:r w:rsidRPr="5893F039">
        <w:rPr>
          <w:b/>
          <w:bCs/>
          <w:sz w:val="28"/>
          <w:szCs w:val="28"/>
        </w:rPr>
        <w:t xml:space="preserve">П. 1 Число субъектов малого и среднего предпринимательства в расчете на 10 тыс. чел. населения </w:t>
      </w:r>
      <w:r w:rsidRPr="5893F039">
        <w:rPr>
          <w:sz w:val="28"/>
          <w:szCs w:val="28"/>
        </w:rPr>
        <w:t>составляет 290,33 ед. По сравнению с прошлым годом произошло увеличение показателя на 2,1 единицы (в 2019 году - 288,23 ед.), темп роста составил 100,7%.</w:t>
      </w:r>
    </w:p>
    <w:p w14:paraId="09F66321" w14:textId="39A505EA" w:rsidR="21C5AB2C" w:rsidRPr="00D86F8E" w:rsidRDefault="2AC4BC31" w:rsidP="21C5AB2C">
      <w:pPr>
        <w:spacing w:line="257" w:lineRule="auto"/>
        <w:ind w:firstLine="567"/>
        <w:jc w:val="both"/>
        <w:rPr>
          <w:sz w:val="28"/>
          <w:szCs w:val="28"/>
          <w:highlight w:val="yellow"/>
        </w:rPr>
      </w:pPr>
      <w:r w:rsidRPr="2AC4BC31">
        <w:rPr>
          <w:sz w:val="28"/>
          <w:szCs w:val="28"/>
        </w:rPr>
        <w:t xml:space="preserve">В целях увеличения числа и поддержки субъектов малого и среднего предпринимательства в МО «Усть-Коксинский район» проведены следующие мероприятия: оказана государственная поддержка СПК «Абайский» на сумму 16222 тыс. руб. в виде субсидий на  поддержку развития племенного  животноводства. </w:t>
      </w:r>
    </w:p>
    <w:p w14:paraId="293F195B" w14:textId="101C8474" w:rsidR="21C5AB2C" w:rsidRPr="00D86F8E" w:rsidRDefault="2AC4BC31" w:rsidP="2AC4BC31">
      <w:pPr>
        <w:spacing w:line="257" w:lineRule="auto"/>
        <w:ind w:firstLine="567"/>
        <w:jc w:val="both"/>
        <w:rPr>
          <w:sz w:val="28"/>
          <w:szCs w:val="28"/>
        </w:rPr>
      </w:pPr>
      <w:r w:rsidRPr="2AC4BC31">
        <w:rPr>
          <w:sz w:val="28"/>
          <w:szCs w:val="28"/>
        </w:rPr>
        <w:t>Микрофинансовой организацией выданы микрозаймы - в размере 3800,0 тыс.руб. для  8 СМСП, из них 1500,00 тыс. руб. на развитие туризма (ИП Розин Ю.А. и ООО «Лео», Гостевая деревня «Уймонская долина»); 500 тыс. руб. - на развитие фармакологии ООО «Ревитал»; 1300 тыс. руб. - на развитие  сельского хозяйства (ИП Кыпчакова А.Н., СПК «Коксинский»), 500 тыс. руб. - на строительство (ООО «Ратвэл»).</w:t>
      </w:r>
    </w:p>
    <w:p w14:paraId="25D3C38F" w14:textId="223ED262" w:rsidR="21C5AB2C" w:rsidRPr="00D86F8E" w:rsidRDefault="21C5AB2C" w:rsidP="21C5AB2C">
      <w:pPr>
        <w:spacing w:line="257" w:lineRule="auto"/>
        <w:ind w:firstLine="567"/>
        <w:jc w:val="both"/>
        <w:rPr>
          <w:sz w:val="28"/>
          <w:szCs w:val="28"/>
        </w:rPr>
      </w:pPr>
    </w:p>
    <w:p w14:paraId="76DBDF37" w14:textId="606BAF14" w:rsidR="21C5AB2C" w:rsidRPr="00D86F8E" w:rsidRDefault="5893F039" w:rsidP="21C5AB2C">
      <w:pPr>
        <w:ind w:firstLine="567"/>
        <w:jc w:val="both"/>
        <w:rPr>
          <w:sz w:val="28"/>
          <w:szCs w:val="28"/>
        </w:rPr>
      </w:pPr>
      <w:r w:rsidRPr="5893F039">
        <w:rPr>
          <w:b/>
          <w:bCs/>
          <w:sz w:val="28"/>
          <w:szCs w:val="28"/>
        </w:rPr>
        <w:t xml:space="preserve">П. 2 Доля среднесписочной численности работников (без внешних совместителей) малых и средних предприятий в среднесписочной </w:t>
      </w:r>
      <w:r w:rsidRPr="5893F039">
        <w:rPr>
          <w:b/>
          <w:bCs/>
          <w:sz w:val="28"/>
          <w:szCs w:val="28"/>
        </w:rPr>
        <w:lastRenderedPageBreak/>
        <w:t>численности работников (без внешних совместителей) всех предприятий и организаций</w:t>
      </w:r>
    </w:p>
    <w:p w14:paraId="640994E5" w14:textId="2143D6B1" w:rsidR="21C5AB2C" w:rsidRPr="00D86F8E" w:rsidRDefault="2AC4BC31" w:rsidP="2AC4BC31">
      <w:pPr>
        <w:spacing w:line="257" w:lineRule="auto"/>
        <w:jc w:val="both"/>
        <w:rPr>
          <w:sz w:val="28"/>
          <w:szCs w:val="28"/>
        </w:rPr>
      </w:pPr>
      <w:r w:rsidRPr="2AC4BC31">
        <w:rPr>
          <w:sz w:val="28"/>
          <w:szCs w:val="28"/>
        </w:rPr>
        <w:t xml:space="preserve"> Среднесписочная численность работников (без внешних совместителей) малых предприятий увеличилась на 3,3%, или на 13 чел. и составила 409 чел. </w:t>
      </w:r>
    </w:p>
    <w:p w14:paraId="68101156" w14:textId="7BD4D7F3" w:rsidR="21C5AB2C" w:rsidRPr="00D86F8E" w:rsidRDefault="2AC4BC31" w:rsidP="21C5AB2C">
      <w:pPr>
        <w:spacing w:line="257" w:lineRule="auto"/>
        <w:ind w:firstLine="567"/>
        <w:jc w:val="both"/>
        <w:rPr>
          <w:sz w:val="28"/>
          <w:szCs w:val="28"/>
        </w:rPr>
      </w:pPr>
      <w:r w:rsidRPr="2AC4BC31">
        <w:rPr>
          <w:sz w:val="28"/>
          <w:szCs w:val="28"/>
        </w:rPr>
        <w:t>Среднесписочная численность работников (без внешних совместителей) средних предприятий, по результатам фактических данных Алтайкрайстата, составляет 366 чел., снижение в сравнении с предыдущим годом на 5,9% связи с  уменьшением численности в СПК   ПКЗ «Амурский».</w:t>
      </w:r>
    </w:p>
    <w:p w14:paraId="678BC600" w14:textId="4B8134C7" w:rsidR="21C5AB2C" w:rsidRPr="00D86F8E" w:rsidRDefault="5F56AD85" w:rsidP="5F56AD85">
      <w:pPr>
        <w:ind w:firstLine="567"/>
        <w:jc w:val="both"/>
        <w:rPr>
          <w:sz w:val="28"/>
          <w:szCs w:val="28"/>
        </w:rPr>
      </w:pPr>
      <w:r w:rsidRPr="5F56AD85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25,057 %, что ниже  уровня 2019  года на 1,259 процентных пункта (за 2019 год - 26,316 %).</w:t>
      </w:r>
    </w:p>
    <w:p w14:paraId="700F25ED" w14:textId="55E957D6" w:rsidR="21C5AB2C" w:rsidRPr="00D86F8E" w:rsidRDefault="5F56AD85" w:rsidP="21C5AB2C">
      <w:pPr>
        <w:jc w:val="both"/>
        <w:rPr>
          <w:sz w:val="28"/>
          <w:szCs w:val="28"/>
        </w:rPr>
      </w:pPr>
      <w:r w:rsidRPr="5F56AD85">
        <w:rPr>
          <w:sz w:val="28"/>
          <w:szCs w:val="28"/>
        </w:rPr>
        <w:t xml:space="preserve"> </w:t>
      </w:r>
    </w:p>
    <w:p w14:paraId="389CBCB8" w14:textId="144B8441" w:rsidR="21C5AB2C" w:rsidRPr="00D86F8E" w:rsidRDefault="5893F039" w:rsidP="21C5AB2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5893F039">
        <w:rPr>
          <w:b/>
          <w:bCs/>
          <w:sz w:val="28"/>
          <w:szCs w:val="28"/>
        </w:rPr>
        <w:t>П. 3 Инвестиции в основной капитал</w:t>
      </w:r>
    </w:p>
    <w:p w14:paraId="194EDFEC" w14:textId="2680E40C" w:rsidR="21C5AB2C" w:rsidRPr="00D86F8E" w:rsidRDefault="21C5AB2C" w:rsidP="21C5AB2C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МО «Усть-Коксинский район» объем инвестиц</w:t>
      </w:r>
      <w:r w:rsidR="00132B05" w:rsidRPr="00D86F8E">
        <w:rPr>
          <w:sz w:val="28"/>
          <w:szCs w:val="28"/>
        </w:rPr>
        <w:t>ий в основной капитал на 01.01.</w:t>
      </w:r>
      <w:r w:rsidRPr="00D86F8E">
        <w:rPr>
          <w:sz w:val="28"/>
          <w:szCs w:val="28"/>
        </w:rPr>
        <w:t>2021 г. составил:</w:t>
      </w:r>
    </w:p>
    <w:p w14:paraId="4C54DB24" w14:textId="19FAA9DB" w:rsidR="21C5AB2C" w:rsidRPr="00D86F8E" w:rsidRDefault="3B335C04" w:rsidP="3B335C04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по организациям, не относящимся к субъектам малого предпринимательства (крупные и средние организации) - 522,48 млн. руб. </w:t>
      </w:r>
    </w:p>
    <w:p w14:paraId="02FBCE48" w14:textId="39B9782D" w:rsidR="21C5AB2C" w:rsidRPr="00D86F8E" w:rsidRDefault="3B335C04" w:rsidP="21C5AB2C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Из них инвестиции в основной капитал:</w:t>
      </w:r>
    </w:p>
    <w:p w14:paraId="37E481AB" w14:textId="6BD800AB" w:rsidR="21C5AB2C" w:rsidRPr="00D86F8E" w:rsidRDefault="5F56AD85" w:rsidP="21C5AB2C">
      <w:pPr>
        <w:spacing w:line="276" w:lineRule="auto"/>
        <w:ind w:firstLine="709"/>
        <w:jc w:val="both"/>
        <w:rPr>
          <w:sz w:val="28"/>
          <w:szCs w:val="28"/>
        </w:rPr>
      </w:pPr>
      <w:r w:rsidRPr="5F56AD85">
        <w:rPr>
          <w:sz w:val="28"/>
          <w:szCs w:val="28"/>
        </w:rPr>
        <w:t>- за счет бюджетных средств - 336,32 млн. руб. (снижение темпа роста на 49,2% к 01.01.2020 г. в текущих ценах),</w:t>
      </w:r>
    </w:p>
    <w:p w14:paraId="41EF86D1" w14:textId="5B76F98C" w:rsidR="21C5AB2C" w:rsidRPr="00D86F8E" w:rsidRDefault="5F56AD85" w:rsidP="3B335C04">
      <w:pPr>
        <w:spacing w:line="276" w:lineRule="auto"/>
        <w:ind w:firstLine="709"/>
        <w:jc w:val="both"/>
        <w:rPr>
          <w:sz w:val="28"/>
          <w:szCs w:val="28"/>
        </w:rPr>
      </w:pPr>
      <w:r w:rsidRPr="5F56AD85">
        <w:rPr>
          <w:sz w:val="28"/>
          <w:szCs w:val="28"/>
        </w:rPr>
        <w:t>- за счет внебюджетных источников - 186,16 млн. руб. (снижение темпа роста на 94,7% к 01.01.2020 г. в текущих ценах), на душу населения - 11,6 тыс. руб. (снижение темпа роста на 94,7% к 01.01.2020 г. в текущих ценах).</w:t>
      </w:r>
    </w:p>
    <w:p w14:paraId="3DDA75EE" w14:textId="626C2F09" w:rsidR="21C5AB2C" w:rsidRPr="00D86F8E" w:rsidRDefault="1D00DDFC" w:rsidP="1D00DDFC">
      <w:pPr>
        <w:spacing w:line="276" w:lineRule="auto"/>
        <w:ind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Причинами снижения</w:t>
      </w:r>
      <w:r w:rsidRPr="1D00DDFC">
        <w:rPr>
          <w:i/>
          <w:iCs/>
          <w:sz w:val="28"/>
          <w:szCs w:val="28"/>
        </w:rPr>
        <w:t xml:space="preserve"> </w:t>
      </w:r>
      <w:r w:rsidRPr="1D00DDFC">
        <w:rPr>
          <w:sz w:val="28"/>
          <w:szCs w:val="28"/>
        </w:rPr>
        <w:t>бюджетных инвестиций является: при  строительстве школы в с. Усть-Кокса на 275 мест в конце года денежные средства были возвращены в бюджет, в связи с тем, что не были подтверждены объемы выполненных работ.</w:t>
      </w:r>
    </w:p>
    <w:p w14:paraId="14C40DA3" w14:textId="7AD4D392" w:rsidR="21C5AB2C" w:rsidRPr="00D86F8E" w:rsidRDefault="1D00DDFC" w:rsidP="1D00DDFC">
      <w:pPr>
        <w:spacing w:line="276" w:lineRule="auto"/>
        <w:ind w:firstLine="705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По виду деятельности «Обеспечение электрической энергией, газом и паром, кондиционирование воздуха »  снижение</w:t>
      </w:r>
      <w:r w:rsidRPr="1D00DDFC">
        <w:rPr>
          <w:i/>
          <w:iCs/>
          <w:sz w:val="28"/>
          <w:szCs w:val="28"/>
        </w:rPr>
        <w:t xml:space="preserve"> </w:t>
      </w:r>
      <w:r w:rsidRPr="1D00DDFC">
        <w:rPr>
          <w:sz w:val="28"/>
          <w:szCs w:val="28"/>
        </w:rPr>
        <w:t>внебюджетных инвестиций сложилось в связи с окончанием строительства солнечной электростанции.</w:t>
      </w:r>
    </w:p>
    <w:p w14:paraId="07D1DEA3" w14:textId="3D7ECBC0" w:rsidR="3B335C04" w:rsidRPr="00D86F8E" w:rsidRDefault="5AFEF7BD" w:rsidP="3B335C04">
      <w:pPr>
        <w:ind w:firstLine="720"/>
        <w:jc w:val="both"/>
        <w:rPr>
          <w:sz w:val="28"/>
          <w:szCs w:val="28"/>
        </w:rPr>
      </w:pPr>
      <w:r w:rsidRPr="5AFEF7BD">
        <w:rPr>
          <w:sz w:val="28"/>
          <w:szCs w:val="28"/>
        </w:rPr>
        <w:t>Реализуются следующие инвестиционные проекты, ставшие победителями</w:t>
      </w:r>
      <w:r w:rsidRPr="5AFEF7BD">
        <w:rPr>
          <w:i/>
          <w:iCs/>
          <w:sz w:val="28"/>
          <w:szCs w:val="28"/>
        </w:rPr>
        <w:t xml:space="preserve"> </w:t>
      </w:r>
      <w:r w:rsidRPr="5AFEF7BD">
        <w:rPr>
          <w:sz w:val="28"/>
          <w:szCs w:val="28"/>
        </w:rPr>
        <w:t>в Ярмарке инвестиционных проектов Республики Алтай в 2020 г.:</w:t>
      </w:r>
    </w:p>
    <w:p w14:paraId="75D164A4" w14:textId="68F762FF" w:rsidR="3B335C04" w:rsidRPr="00D86F8E" w:rsidRDefault="3B335C04" w:rsidP="3B335C04">
      <w:pPr>
        <w:ind w:firstLine="720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ООО «Пантовитал» - фабрика по производству биопродуктов на основе пантового и лектехсырья». В ходе реализации создано 6 рабочих мест. Продукция выпускается и реализуется за пределами Республики Алтай. </w:t>
      </w:r>
    </w:p>
    <w:p w14:paraId="0C18A355" w14:textId="70613E06" w:rsidR="3B335C04" w:rsidRPr="00D86F8E" w:rsidRDefault="1D00DDFC" w:rsidP="3B335C04">
      <w:pPr>
        <w:ind w:firstLine="720"/>
        <w:jc w:val="both"/>
        <w:rPr>
          <w:sz w:val="28"/>
          <w:szCs w:val="28"/>
        </w:rPr>
      </w:pPr>
      <w:r w:rsidRPr="1D00DDFC">
        <w:rPr>
          <w:sz w:val="28"/>
          <w:szCs w:val="28"/>
        </w:rPr>
        <w:t xml:space="preserve">ИП Рознин Ю.А. - «Развитие спортивно-туристического лагеря», создано 3 рабочих места, организованы спортивные занятия с детьми по рафтингу в летний сезон, в которых приняли участие 150 чел. вместо 60 запланированных.  </w:t>
      </w:r>
    </w:p>
    <w:p w14:paraId="3F0D3EC1" w14:textId="213E675A" w:rsidR="3B335C04" w:rsidRPr="00D86F8E" w:rsidRDefault="3B335C04" w:rsidP="3B335C04">
      <w:pPr>
        <w:ind w:firstLine="720"/>
        <w:jc w:val="both"/>
        <w:rPr>
          <w:sz w:val="28"/>
          <w:szCs w:val="28"/>
        </w:rPr>
      </w:pPr>
      <w:r w:rsidRPr="00D86F8E">
        <w:rPr>
          <w:sz w:val="28"/>
          <w:szCs w:val="28"/>
        </w:rPr>
        <w:lastRenderedPageBreak/>
        <w:t>ИП Гагарина С.С.</w:t>
      </w:r>
      <w:r w:rsidR="005F7CD6" w:rsidRPr="00D86F8E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- сыроварня «Сыр-да-масло».  </w:t>
      </w:r>
    </w:p>
    <w:p w14:paraId="208EBE9F" w14:textId="54704A33" w:rsidR="3B335C04" w:rsidRPr="00D86F8E" w:rsidRDefault="3B335C04" w:rsidP="3B335C04">
      <w:pPr>
        <w:ind w:firstLine="720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На Инвестиционном портале Республики Алтай для поиска инвесторов размещены следующие инвестиционные проекты и площадки:</w:t>
      </w:r>
    </w:p>
    <w:p w14:paraId="69021793" w14:textId="15E450F0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7">
        <w:r w:rsidR="3B335C04" w:rsidRPr="00D86F8E">
          <w:rPr>
            <w:sz w:val="28"/>
            <w:szCs w:val="28"/>
          </w:rPr>
          <w:t>горнолыжный комплекс, с.Усть-Кокса Усть-Коксинского района;</w:t>
        </w:r>
      </w:hyperlink>
      <w:r w:rsidR="3B335C04" w:rsidRPr="00D86F8E">
        <w:rPr>
          <w:sz w:val="28"/>
          <w:szCs w:val="28"/>
        </w:rPr>
        <w:t xml:space="preserve"> </w:t>
      </w:r>
    </w:p>
    <w:p w14:paraId="5F033660" w14:textId="22A280A7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8">
        <w:r w:rsidR="3B335C04" w:rsidRPr="00D86F8E">
          <w:rPr>
            <w:sz w:val="28"/>
            <w:szCs w:val="28"/>
          </w:rPr>
          <w:t xml:space="preserve">жилищное строительство, с.Маральник-1 </w:t>
        </w:r>
      </w:hyperlink>
      <w:r w:rsidR="3B335C04" w:rsidRPr="00D86F8E">
        <w:rPr>
          <w:sz w:val="28"/>
          <w:szCs w:val="28"/>
        </w:rPr>
        <w:t xml:space="preserve">Усть-Коксинского района; </w:t>
      </w:r>
    </w:p>
    <w:p w14:paraId="3E7AFD25" w14:textId="5089C3B2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9">
        <w:r w:rsidR="3B335C04" w:rsidRPr="00D86F8E">
          <w:rPr>
            <w:sz w:val="28"/>
            <w:szCs w:val="28"/>
          </w:rPr>
          <w:t>туристический кемпинг, с.Мараловодка</w:t>
        </w:r>
      </w:hyperlink>
      <w:r w:rsidR="3B335C04" w:rsidRPr="00D86F8E">
        <w:rPr>
          <w:sz w:val="28"/>
          <w:szCs w:val="28"/>
        </w:rPr>
        <w:t xml:space="preserve"> Усть-Коксинского района; </w:t>
      </w:r>
    </w:p>
    <w:p w14:paraId="2AE46F15" w14:textId="0205C25A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10">
        <w:r w:rsidR="3B335C04" w:rsidRPr="00D86F8E">
          <w:rPr>
            <w:sz w:val="28"/>
            <w:szCs w:val="28"/>
          </w:rPr>
          <w:t>жилищное строительство, с. Кайтанак</w:t>
        </w:r>
      </w:hyperlink>
      <w:r w:rsidR="3B335C04" w:rsidRPr="00D86F8E">
        <w:rPr>
          <w:sz w:val="28"/>
          <w:szCs w:val="28"/>
        </w:rPr>
        <w:t xml:space="preserve"> Усть-Коксинского района; </w:t>
      </w:r>
    </w:p>
    <w:p w14:paraId="325C281E" w14:textId="538492DF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11">
        <w:r w:rsidR="3B335C04" w:rsidRPr="00D86F8E">
          <w:rPr>
            <w:sz w:val="28"/>
            <w:szCs w:val="28"/>
          </w:rPr>
          <w:t>строительство фабрики биопродуктов, с.Усть-Кокса</w:t>
        </w:r>
      </w:hyperlink>
      <w:r w:rsidR="3B335C04" w:rsidRPr="00D86F8E">
        <w:rPr>
          <w:sz w:val="28"/>
          <w:szCs w:val="28"/>
        </w:rPr>
        <w:t xml:space="preserve"> Усть-Коксинского района; </w:t>
      </w:r>
    </w:p>
    <w:p w14:paraId="7886704E" w14:textId="0136D77E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12">
        <w:r w:rsidR="3B335C04" w:rsidRPr="00D86F8E">
          <w:rPr>
            <w:sz w:val="28"/>
            <w:szCs w:val="28"/>
          </w:rPr>
          <w:t>для иного специального назначения, урочище Еланда с. Талда</w:t>
        </w:r>
      </w:hyperlink>
      <w:r w:rsidR="3B335C04" w:rsidRPr="00D86F8E">
        <w:rPr>
          <w:sz w:val="28"/>
          <w:szCs w:val="28"/>
        </w:rPr>
        <w:t xml:space="preserve"> Усть-Коксинского района; </w:t>
      </w:r>
    </w:p>
    <w:p w14:paraId="5742E5FC" w14:textId="7B3A096B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13">
        <w:r w:rsidR="3B335C04" w:rsidRPr="00D86F8E">
          <w:rPr>
            <w:sz w:val="28"/>
            <w:szCs w:val="28"/>
          </w:rPr>
          <w:t>для размещения складов, с.Усть-Кокса Усть-Коксинского района;</w:t>
        </w:r>
      </w:hyperlink>
    </w:p>
    <w:p w14:paraId="137F45E0" w14:textId="3BBA6F15" w:rsidR="3B335C04" w:rsidRPr="00D86F8E" w:rsidRDefault="00AD1863" w:rsidP="3B335C04">
      <w:pPr>
        <w:ind w:firstLine="720"/>
        <w:jc w:val="both"/>
        <w:rPr>
          <w:sz w:val="28"/>
          <w:szCs w:val="28"/>
        </w:rPr>
      </w:pPr>
      <w:hyperlink r:id="rId14">
        <w:r w:rsidR="3B335C04" w:rsidRPr="00D86F8E">
          <w:rPr>
            <w:sz w:val="28"/>
            <w:szCs w:val="28"/>
          </w:rPr>
          <w:t>под объекты торговли, с.Усть-Кокса Усть-Коксинского района.</w:t>
        </w:r>
      </w:hyperlink>
    </w:p>
    <w:p w14:paraId="52FA2F0D" w14:textId="01AB3E22" w:rsidR="3B335C04" w:rsidRPr="00D86F8E" w:rsidRDefault="3B335C04" w:rsidP="3B335C04">
      <w:pPr>
        <w:ind w:firstLine="720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2021 г. также планируются к реализации крупные инвестиционные проекты: </w:t>
      </w:r>
    </w:p>
    <w:p w14:paraId="77BE8A78" w14:textId="14972F24" w:rsidR="3B335C04" w:rsidRPr="00D86F8E" w:rsidRDefault="3B335C04" w:rsidP="3B335C04">
      <w:pPr>
        <w:ind w:firstLine="720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бюджетные: проектирование и строительство объекта научно-клинической лаборатории с питомником для разведения и содержания кабарги в условиях естественной среды обитания; </w:t>
      </w:r>
    </w:p>
    <w:p w14:paraId="31BD31BA" w14:textId="720FB817" w:rsidR="3B335C04" w:rsidRPr="00D86F8E" w:rsidRDefault="3B335C04" w:rsidP="3B335C04">
      <w:pPr>
        <w:ind w:firstLine="720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строительство школы в с. Усть-Кокса на 275 мест;</w:t>
      </w:r>
    </w:p>
    <w:p w14:paraId="59A9C11D" w14:textId="27E05330" w:rsidR="3B335C04" w:rsidRPr="00D86F8E" w:rsidRDefault="3B335C04" w:rsidP="3B335C04">
      <w:pPr>
        <w:ind w:firstLine="720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строительство детского сада на 60 мест в с. Усть-Кокса.</w:t>
      </w:r>
    </w:p>
    <w:p w14:paraId="5CCFBE14" w14:textId="2A7A5FA0" w:rsidR="7900AAE5" w:rsidRPr="00D86F8E" w:rsidRDefault="7900AAE5" w:rsidP="21C5AB2C">
      <w:pPr>
        <w:spacing w:line="259" w:lineRule="auto"/>
        <w:ind w:firstLine="567"/>
        <w:jc w:val="both"/>
        <w:rPr>
          <w:b/>
          <w:bCs/>
          <w:sz w:val="28"/>
          <w:szCs w:val="28"/>
        </w:rPr>
      </w:pPr>
    </w:p>
    <w:p w14:paraId="2653E4B1" w14:textId="5AEA4C9E" w:rsidR="1D00DDFC" w:rsidRDefault="03AAD4C1" w:rsidP="03AAD4C1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3AAD4C1">
        <w:rPr>
          <w:b/>
          <w:bCs/>
          <w:color w:val="000000" w:themeColor="text1"/>
          <w:sz w:val="28"/>
          <w:szCs w:val="28"/>
        </w:rPr>
        <w:t>П. 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14:paraId="3654F129" w14:textId="0BFA43DA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Общая площадь территории МО «Усть-Коксинский район» составляет 1 295 186 га.</w:t>
      </w:r>
    </w:p>
    <w:p w14:paraId="2291306C" w14:textId="5848E1F6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Общая площадь земельных участков, являющихся объектами налогообложения земельным налогом на 01.01.2020 г., составила 388 751 га.</w:t>
      </w:r>
    </w:p>
    <w:p w14:paraId="3D6E356F" w14:textId="6E5C346C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I. Не являются объектом налогообложения следующие земельные участки:</w:t>
      </w:r>
    </w:p>
    <w:p w14:paraId="02B00E4A" w14:textId="5705A5A3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1. Земельные участки, которые не признаются объектами налогообложения земельным налогом, в соответствии со статьей 389 Налогового кодекса Российской Федерации, а именно:</w:t>
      </w:r>
    </w:p>
    <w:p w14:paraId="6A836143" w14:textId="30C6BAC7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- 151 664 га – земли особо охраняемых природных территорий - земли государственного природного биосферного заповедника «Катунский» - «Сведения о наличии и распределении земель по категориям и формам собственности» Росреестра;</w:t>
      </w:r>
    </w:p>
    <w:p w14:paraId="5CD13018" w14:textId="5CCF15A5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- 333 227 га - земли лесного фонда - форма № 22-1 «Сведения о наличии и распределении земель по категориям и формам собственности» Росреестра;</w:t>
      </w:r>
    </w:p>
    <w:p w14:paraId="32D056F8" w14:textId="1000E723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- 2 416 га – земли водного фонда - форма № 22-1 «Сведения о наличии и распределении земель по категориям и формам собственности» Росреестра;</w:t>
      </w:r>
    </w:p>
    <w:p w14:paraId="3E3815C5" w14:textId="3FF9B336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- 26 га - земли под объектами организаций федеральной службы.</w:t>
      </w:r>
    </w:p>
    <w:p w14:paraId="1ECBED6D" w14:textId="54CE4AD2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2. Земельные участки, свободные от прав третьих лиц, никому не предоставленные:</w:t>
      </w:r>
    </w:p>
    <w:p w14:paraId="7E6CE867" w14:textId="0D194455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lastRenderedPageBreak/>
        <w:t>- 233 021,4 га - земли запаса (общая площадь земельных участков, переведённых в 2019 г. из категории земель запаса в другие категории земель составляет 2 492,6 га.);</w:t>
      </w:r>
    </w:p>
    <w:p w14:paraId="4AD558FD" w14:textId="02050BA6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- 770 га - земельные участки, переведенные из земель запаса, но не предоставленные в пользование (в собственность);</w:t>
      </w:r>
    </w:p>
    <w:p w14:paraId="6689E8F1" w14:textId="3AD37547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- 25 549 га – по данным публичной кадастровой карты Росреестра - невостребованные на 01.01.2021 г. земельные доли граждан;</w:t>
      </w:r>
    </w:p>
    <w:p w14:paraId="640C9DA2" w14:textId="58985D8E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- 21 629,2 га – по данным публичной кадастровой карты Росреестра - свободные от прав третьих лиц на 01.01.2021 г., фонд перераспределения земель района;</w:t>
      </w:r>
    </w:p>
    <w:p w14:paraId="5735A958" w14:textId="0D9A3E79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- 65 896 га – по данным публичной кадастровой карты Росреестра - земли, свободные от прав третьих лиц на 01.01.2021 г. (бывшее постоянное (бессрочное) пользование ТОО «Сельхозфирма «Коксинская», не перешедшие к СПК «Коксинский»).</w:t>
      </w:r>
    </w:p>
    <w:p w14:paraId="6905C013" w14:textId="43F38A96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II. Земельные участки, предоставленные в аренду гражданам и юридическим лицам:</w:t>
      </w:r>
    </w:p>
    <w:p w14:paraId="3CF94D92" w14:textId="6A2BBC06" w:rsidR="1D00DDFC" w:rsidRDefault="03AAD4C1" w:rsidP="03AAD4C1">
      <w:pPr>
        <w:ind w:firstLine="567"/>
        <w:jc w:val="both"/>
      </w:pPr>
      <w:r w:rsidRPr="03AAD4C1">
        <w:rPr>
          <w:color w:val="000000" w:themeColor="text1"/>
          <w:sz w:val="28"/>
          <w:szCs w:val="28"/>
        </w:rPr>
        <w:t>- 71 533,12 га - аренда государственных и муниципальных земель на территории МО «Усть-Коксинский район» по состоянию на 01.01.2020 г.</w:t>
      </w:r>
    </w:p>
    <w:p w14:paraId="72D0900F" w14:textId="0197740C" w:rsidR="1D00DDFC" w:rsidRDefault="03AAD4C1" w:rsidP="03AAD4C1">
      <w:pPr>
        <w:ind w:firstLine="540"/>
        <w:jc w:val="both"/>
        <w:rPr>
          <w:color w:val="000000" w:themeColor="text1"/>
          <w:sz w:val="28"/>
          <w:szCs w:val="28"/>
        </w:rPr>
      </w:pPr>
      <w:r w:rsidRPr="03AAD4C1">
        <w:rPr>
          <w:color w:val="000000" w:themeColor="text1"/>
          <w:sz w:val="28"/>
          <w:szCs w:val="28"/>
        </w:rPr>
        <w:t>По показателю на прогнозный период запланирован рост в связи с предоставлением свободных земельных участков в собственность физических и юридических лиц.</w:t>
      </w:r>
    </w:p>
    <w:p w14:paraId="2A4DE9AF" w14:textId="5B3F8773" w:rsidR="1D00DDFC" w:rsidRDefault="1D00DDFC" w:rsidP="1D00DDFC">
      <w:pPr>
        <w:ind w:firstLine="540"/>
        <w:jc w:val="both"/>
        <w:rPr>
          <w:color w:val="FF0000"/>
          <w:sz w:val="28"/>
          <w:szCs w:val="28"/>
          <w:highlight w:val="yellow"/>
        </w:rPr>
      </w:pPr>
    </w:p>
    <w:p w14:paraId="14CEC8BF" w14:textId="65788527" w:rsidR="008707DB" w:rsidRPr="00D86F8E" w:rsidRDefault="00132B05" w:rsidP="21C5AB2C">
      <w:pPr>
        <w:tabs>
          <w:tab w:val="left" w:pos="4962"/>
        </w:tabs>
        <w:ind w:firstLine="567"/>
        <w:jc w:val="both"/>
        <w:rPr>
          <w:b/>
          <w:bCs/>
          <w:spacing w:val="-4"/>
          <w:sz w:val="28"/>
          <w:szCs w:val="28"/>
        </w:rPr>
      </w:pPr>
      <w:r w:rsidRPr="00D86F8E">
        <w:rPr>
          <w:b/>
          <w:bCs/>
          <w:spacing w:val="-4"/>
          <w:sz w:val="28"/>
          <w:szCs w:val="28"/>
        </w:rPr>
        <w:t>П. 5 Доля прибыльных сельскохозяйственн</w:t>
      </w:r>
      <w:r w:rsidR="005F7CD6" w:rsidRPr="00D86F8E">
        <w:rPr>
          <w:b/>
          <w:bCs/>
          <w:spacing w:val="-4"/>
          <w:sz w:val="28"/>
          <w:szCs w:val="28"/>
        </w:rPr>
        <w:t>ых организаций в общем их числе</w:t>
      </w:r>
    </w:p>
    <w:p w14:paraId="680F7F70" w14:textId="30FBFFC9" w:rsidR="03A7882B" w:rsidRPr="00D86F8E" w:rsidRDefault="1D00DDFC" w:rsidP="03A7882B">
      <w:pPr>
        <w:tabs>
          <w:tab w:val="left" w:pos="4962"/>
        </w:tabs>
        <w:ind w:firstLine="567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Доля прибыльных сельскохозяйственных организаций в общем их числе в 2020 г. составила 100 %. Агропромышленный комплекс МО «Усть-Коксинский район» включает в себя: 21 сельскохозяйственную организацию и 1 предприятие перерабатывающей промышленности, из них в течение 2020 года 17 предприятий получили государственную поддержку в виде субсидий на возмещение части затрат на молочное скотоводство, на оказание несвязанной поддержки сельхозтоваропроизводителей в области растениеводства, по наращиванию поголовья КРС, овец и коз, северных оленей, маралов и мясных табунных лошадей, на содержание племенного маточного поголовья сельскохозяйственных животных, на уплату первоначального взноса при приобретении новой сельскохозяйственной техники, оборудования, грузовых и специализированных автомобилей на условии лизинга, на приобретение новой сельскохозяйственной техники, грузовых автомобилей и животноводческого оборудования. 17 предприятий завершили финансовый год с прибылью, консолидированная чистая прибыль составила 100,560 млн. руб. В сравнении с прошлым годом количество получателей государственной поддержки сократилось на 4 ед.: в связи с закрытием СПоК «Горная Ферма», ООО «Абай» - снизилось поголовье маралов, ЗАО Фирма «Курдюм» не подавали заявки на господдержку, ООО «Молоко» - имелась задолженность.</w:t>
      </w:r>
    </w:p>
    <w:p w14:paraId="738610EB" w14:textId="77777777" w:rsidR="008707DB" w:rsidRPr="00D86F8E" w:rsidRDefault="00132B05" w:rsidP="7A78F1CD">
      <w:pPr>
        <w:tabs>
          <w:tab w:val="left" w:pos="4962"/>
        </w:tabs>
        <w:ind w:firstLine="567"/>
        <w:jc w:val="both"/>
        <w:rPr>
          <w:b/>
          <w:bCs/>
          <w:spacing w:val="-4"/>
          <w:sz w:val="28"/>
          <w:szCs w:val="28"/>
        </w:rPr>
      </w:pPr>
      <w:r w:rsidRPr="00D86F8E">
        <w:rPr>
          <w:b/>
          <w:bCs/>
          <w:spacing w:val="-4"/>
          <w:sz w:val="28"/>
          <w:szCs w:val="28"/>
        </w:rPr>
        <w:t xml:space="preserve"> </w:t>
      </w:r>
    </w:p>
    <w:p w14:paraId="2B86A3C3" w14:textId="1270FF9A" w:rsidR="008707DB" w:rsidRPr="00D86F8E" w:rsidRDefault="03AAD4C1" w:rsidP="03AAD4C1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3AAD4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П. 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14:paraId="1CBB1462" w14:textId="046B13AD" w:rsidR="1D00DDFC" w:rsidRDefault="1D00DDFC" w:rsidP="1D00DDFC">
      <w:pPr>
        <w:spacing w:line="276" w:lineRule="auto"/>
        <w:ind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Общая протяженность дорог местного значения на 31.12.2020 года составляет 293,4 км. Протяженность дорог общего пользования местного значения, не отвечающих нормативным требованиям, на 31.12.2020 года составила - 173,2 км. 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 по итогам 2020 года составила 59,0 %. Большая часть дорог общего пользования местного значения муниципального района имеют гравийное покрытие. Проведены ремонты за счет средств дорожного фонда.</w:t>
      </w:r>
    </w:p>
    <w:p w14:paraId="637805D2" w14:textId="5854A014" w:rsidR="008707DB" w:rsidRPr="00D86F8E" w:rsidRDefault="1D00DDFC" w:rsidP="1D00DDFC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D00DDFC">
        <w:rPr>
          <w:rFonts w:ascii="Times New Roman" w:hAnsi="Times New Roman" w:cs="Times New Roman"/>
          <w:sz w:val="28"/>
          <w:szCs w:val="28"/>
        </w:rPr>
        <w:t>В прогнозном периоде до 2023 года не планируется увеличение протяженности дорог общего пользования местного значения. В 2021 году и плановый период до 2023 года будет проводиться ремонт дорог. Сокращение доли протяженности дорог, не отвечающих нормативным требованиям, в общей протяженности автодорог будет осуществляться за счёт ежегодных ремонтов не более 5 км дорог (в связи с нехваткой средств в муниципальном дорожном фонде). Резкое положительное изменение в показателях может зависеть только от поступления в бюджет района средств из республиканского бюджета Республики Алтай, направленных на ремонт автомобильных дорог.</w:t>
      </w:r>
    </w:p>
    <w:p w14:paraId="61829076" w14:textId="77777777" w:rsidR="008707DB" w:rsidRPr="00D86F8E" w:rsidRDefault="008707DB" w:rsidP="7A78F1CD">
      <w:pPr>
        <w:widowControl w:val="0"/>
        <w:ind w:firstLine="567"/>
        <w:jc w:val="both"/>
        <w:rPr>
          <w:b/>
          <w:bCs/>
          <w:spacing w:val="-4"/>
          <w:sz w:val="28"/>
          <w:szCs w:val="28"/>
        </w:rPr>
      </w:pPr>
    </w:p>
    <w:p w14:paraId="7F7E51F2" w14:textId="44B13AE7" w:rsidR="008707DB" w:rsidRPr="00D86F8E" w:rsidRDefault="03AAD4C1" w:rsidP="7A78F1CD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 w:rsidRPr="03AAD4C1">
        <w:rPr>
          <w:b/>
          <w:bCs/>
          <w:sz w:val="28"/>
          <w:szCs w:val="28"/>
        </w:rPr>
        <w:t>П. 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14:paraId="0DE4B5B7" w14:textId="2ACD1EAC" w:rsidR="008707DB" w:rsidRPr="00D86F8E" w:rsidRDefault="689632AC" w:rsidP="7A78F1CD">
      <w:pPr>
        <w:widowControl w:val="0"/>
        <w:ind w:firstLine="851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Администрацией МО «Усть-Коксинский район» проведена большая работа по регулярному автобусному сообщению с административным центром муниципального района. 100 % населения, проживающих в населенных пунктах, имеют регулярное автобусное сообщение с административным центром. Данная услуга находит продвижение среди коммерческих структур</w:t>
      </w:r>
      <w:r w:rsidRPr="00D86F8E">
        <w:rPr>
          <w:b/>
          <w:bCs/>
          <w:sz w:val="28"/>
          <w:szCs w:val="28"/>
        </w:rPr>
        <w:t xml:space="preserve">. </w:t>
      </w:r>
      <w:r w:rsidRPr="00D86F8E">
        <w:rPr>
          <w:sz w:val="28"/>
          <w:szCs w:val="28"/>
        </w:rPr>
        <w:t>В комплексной программе социально-экономического развития муниципального образования, запланировано  строительство дороги на Казахстан.</w:t>
      </w:r>
    </w:p>
    <w:p w14:paraId="66204FF1" w14:textId="77777777" w:rsidR="008707DB" w:rsidRPr="00D86F8E" w:rsidRDefault="008707DB">
      <w:pPr>
        <w:widowControl w:val="0"/>
        <w:ind w:firstLine="567"/>
        <w:jc w:val="both"/>
        <w:rPr>
          <w:b/>
          <w:spacing w:val="-4"/>
          <w:sz w:val="28"/>
          <w:szCs w:val="28"/>
        </w:rPr>
      </w:pPr>
    </w:p>
    <w:p w14:paraId="21BB01C2" w14:textId="7B7CBAF0" w:rsidR="008707DB" w:rsidRPr="00D86F8E" w:rsidRDefault="03AAD4C1" w:rsidP="03AAD4C1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3AAD4C1">
        <w:rPr>
          <w:b/>
          <w:bCs/>
          <w:sz w:val="28"/>
          <w:szCs w:val="28"/>
        </w:rPr>
        <w:t>П. 8 Среднемесячная номинальная начисленная заработная плата работников</w:t>
      </w:r>
    </w:p>
    <w:p w14:paraId="1247B925" w14:textId="3DEE9CD5" w:rsidR="4BC497F4" w:rsidRPr="00D86F8E" w:rsidRDefault="03AAD4C1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Среднемесячная номинальная начисленная</w:t>
      </w:r>
      <w:r w:rsidRPr="03AAD4C1">
        <w:rPr>
          <w:b/>
          <w:bCs/>
          <w:sz w:val="28"/>
          <w:szCs w:val="28"/>
        </w:rPr>
        <w:t xml:space="preserve"> </w:t>
      </w:r>
      <w:r w:rsidRPr="03AAD4C1">
        <w:rPr>
          <w:sz w:val="28"/>
          <w:szCs w:val="28"/>
        </w:rPr>
        <w:t xml:space="preserve">заработная плата работников крупных и средних предприятий и некоммерческих организаций в МО «Усть-Коксинский район» за 2020 г. составила 27 305,2 руб., что на </w:t>
      </w:r>
      <w:r w:rsidRPr="03AAD4C1">
        <w:rPr>
          <w:sz w:val="28"/>
          <w:szCs w:val="28"/>
        </w:rPr>
        <w:lastRenderedPageBreak/>
        <w:t>10,3 % выше 2019 г. (24 755,6 руб.). Увеличение показателя произошло за счет увеличения МРОТ и проведения индексации заработной платы. В 2021 - 2023 гг. ожидается незначительный рост заработной платы за счет повышения МРОТ.</w:t>
      </w:r>
    </w:p>
    <w:p w14:paraId="76935F58" w14:textId="599B9D66" w:rsidR="4BC497F4" w:rsidRPr="00D86F8E" w:rsidRDefault="03AAD4C1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Среднемесячная номинальная начисленная</w:t>
      </w:r>
      <w:r w:rsidRPr="03AAD4C1">
        <w:rPr>
          <w:b/>
          <w:bCs/>
          <w:sz w:val="28"/>
          <w:szCs w:val="28"/>
        </w:rPr>
        <w:t xml:space="preserve"> </w:t>
      </w:r>
      <w:r w:rsidRPr="03AAD4C1">
        <w:rPr>
          <w:sz w:val="28"/>
          <w:szCs w:val="28"/>
        </w:rPr>
        <w:t>заработная плата работников муниципальных дошкольных образовательных организаций составила 21 969,8 руб., что  на 4,2 % выше 2019 г. (21 078,8 руб.) за счет обеспечения достижения показателей уровня оплаты труда работников дошкольных образовательных организациях в целях реализации указов Президента Российской Федерации 2012 г., а также в целях исполнения Федерального закона от 19.06.2000 г. № 82-ФЗ «О минимальном размере оплаты труда». В 2021 г. планируется обеспечить номинальную начисленную заработную плату не ниже 22 200,00 руб.</w:t>
      </w:r>
    </w:p>
    <w:p w14:paraId="083CEAEE" w14:textId="3BAC6A0B" w:rsidR="4BC497F4" w:rsidRPr="00D86F8E" w:rsidRDefault="03AAD4C1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Среднемесячная номинальная начисленная</w:t>
      </w:r>
      <w:r w:rsidRPr="03AAD4C1">
        <w:rPr>
          <w:b/>
          <w:bCs/>
          <w:sz w:val="28"/>
          <w:szCs w:val="28"/>
        </w:rPr>
        <w:t xml:space="preserve"> </w:t>
      </w:r>
      <w:r w:rsidRPr="03AAD4C1">
        <w:rPr>
          <w:sz w:val="28"/>
          <w:szCs w:val="28"/>
        </w:rPr>
        <w:t>заработная плата работников муниципальных общеобразовательных учреждений составила 25 740,7 руб., что на 10,5 % выше 2019 г. (23 301,8 руб.) за счет обеспечения достижения показателей уровня оплаты труда работников общеобразовательных учреждений в целях реализации указов Президента Российской Федерации 2012 г., а также в целях исполнения Федерального закона от 19.06.2000 г. № 82-ФЗ «О минимальном размере оплаты труда». В 2021 г. планируется обеспечить номинальную начисленную заработную плату не ниже 25 850 руб.</w:t>
      </w:r>
    </w:p>
    <w:p w14:paraId="0D0E0535" w14:textId="47A8C82C" w:rsidR="4BC497F4" w:rsidRPr="00D86F8E" w:rsidRDefault="03AAD4C1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Среднемесячная номинальная начисленная</w:t>
      </w:r>
      <w:r w:rsidRPr="03AAD4C1">
        <w:rPr>
          <w:b/>
          <w:bCs/>
          <w:sz w:val="28"/>
          <w:szCs w:val="28"/>
        </w:rPr>
        <w:t xml:space="preserve"> </w:t>
      </w:r>
      <w:r w:rsidRPr="03AAD4C1">
        <w:rPr>
          <w:sz w:val="28"/>
          <w:szCs w:val="28"/>
        </w:rPr>
        <w:t>заработная плата учителей муниципальных общеобразовательных учреждений составила 27 578,1 руб., что увеличилась на 7,1 % выше 2019 г. (25 762,0 руб.) за счет обеспечения достижения показателей уровня оплаты труда работников общеобразовательных учреждений в целях реализации указов Президента Российской Федерации 2012 г. В 2021 г. планируется обеспечить номинальную начисленную заработную плату не ниже 27 665,6 руб.</w:t>
      </w:r>
    </w:p>
    <w:p w14:paraId="6780EF3A" w14:textId="738694ED" w:rsidR="4BC497F4" w:rsidRPr="00D86F8E" w:rsidRDefault="32428450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32428450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увеличилась с 26 581,0 руб. до 27 695,00 руб., что на 4,2% выше 2019 г.  за счет достижения показателей уровня оплаты труда работников культуры в целях реализации указов Президента Российской Федерации. В 2021 г. планируется обеспечить номинальную заработную плату не ниже 29 457,5 руб.  </w:t>
      </w:r>
    </w:p>
    <w:p w14:paraId="3226D47A" w14:textId="4D32D34F" w:rsidR="32428450" w:rsidRDefault="32428450" w:rsidP="32428450">
      <w:pPr>
        <w:spacing w:line="276" w:lineRule="auto"/>
        <w:ind w:firstLine="709"/>
        <w:jc w:val="both"/>
      </w:pPr>
    </w:p>
    <w:p w14:paraId="77925546" w14:textId="77777777" w:rsidR="008707DB" w:rsidRPr="00D86F8E" w:rsidRDefault="1D00DDFC" w:rsidP="1D00DDFC">
      <w:pPr>
        <w:numPr>
          <w:ilvl w:val="0"/>
          <w:numId w:val="4"/>
        </w:numPr>
        <w:tabs>
          <w:tab w:val="center" w:pos="993"/>
        </w:tabs>
        <w:jc w:val="center"/>
        <w:rPr>
          <w:b/>
          <w:bCs/>
          <w:sz w:val="28"/>
          <w:szCs w:val="28"/>
          <w:lang w:eastAsia="ru-RU"/>
        </w:rPr>
      </w:pPr>
      <w:r w:rsidRPr="1D00DDFC">
        <w:rPr>
          <w:b/>
          <w:bCs/>
          <w:sz w:val="28"/>
          <w:szCs w:val="28"/>
          <w:lang w:eastAsia="ru-RU"/>
        </w:rPr>
        <w:t>Дошкольное образование</w:t>
      </w:r>
    </w:p>
    <w:p w14:paraId="3E0E90C5" w14:textId="24D9E034" w:rsidR="1D00DDFC" w:rsidRDefault="1D00DDFC" w:rsidP="1D00DDFC">
      <w:pPr>
        <w:tabs>
          <w:tab w:val="center" w:pos="993"/>
        </w:tabs>
        <w:ind w:left="207"/>
        <w:jc w:val="center"/>
        <w:rPr>
          <w:b/>
          <w:bCs/>
          <w:sz w:val="28"/>
          <w:szCs w:val="28"/>
          <w:lang w:eastAsia="ru-RU"/>
        </w:rPr>
      </w:pPr>
    </w:p>
    <w:p w14:paraId="1BE39A73" w14:textId="20A3AEE2" w:rsidR="008707DB" w:rsidRPr="00D86F8E" w:rsidRDefault="2AE23FC2" w:rsidP="4BC497F4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D86F8E">
        <w:rPr>
          <w:b/>
          <w:bCs/>
          <w:sz w:val="28"/>
          <w:szCs w:val="28"/>
          <w:lang w:eastAsia="ru-RU"/>
        </w:rPr>
        <w:t xml:space="preserve">П. 9 Доля детей в возрасте 1-6 лет, получающих дошкольную образовательную услугу и (или) услугу по их содержанию в </w:t>
      </w:r>
      <w:r w:rsidRPr="00D86F8E">
        <w:rPr>
          <w:b/>
          <w:bCs/>
          <w:sz w:val="28"/>
          <w:szCs w:val="28"/>
          <w:lang w:eastAsia="ru-RU"/>
        </w:rPr>
        <w:lastRenderedPageBreak/>
        <w:t>муниципальных образовательных учреждениях в общей числе</w:t>
      </w:r>
      <w:r w:rsidR="00711C9F">
        <w:rPr>
          <w:b/>
          <w:bCs/>
          <w:sz w:val="28"/>
          <w:szCs w:val="28"/>
          <w:lang w:eastAsia="ru-RU"/>
        </w:rPr>
        <w:t>нности детей в возрасте 1-6 лет</w:t>
      </w:r>
    </w:p>
    <w:p w14:paraId="5188A776" w14:textId="4278E7DF" w:rsidR="4BC497F4" w:rsidRPr="00711C9F" w:rsidRDefault="2AE23FC2" w:rsidP="00711C9F">
      <w:pPr>
        <w:spacing w:line="276" w:lineRule="auto"/>
        <w:ind w:firstLine="709"/>
        <w:jc w:val="both"/>
        <w:rPr>
          <w:sz w:val="28"/>
          <w:szCs w:val="28"/>
        </w:rPr>
      </w:pPr>
      <w:r w:rsidRPr="00711C9F">
        <w:rPr>
          <w:sz w:val="28"/>
          <w:szCs w:val="28"/>
        </w:rPr>
        <w:t xml:space="preserve">В 2020 году, как и в предыдущие годы, в МО </w:t>
      </w:r>
      <w:r w:rsidR="00132B05" w:rsidRPr="00711C9F">
        <w:rPr>
          <w:sz w:val="28"/>
          <w:szCs w:val="28"/>
        </w:rPr>
        <w:t>«</w:t>
      </w:r>
      <w:r w:rsidRPr="00711C9F">
        <w:rPr>
          <w:sz w:val="28"/>
          <w:szCs w:val="28"/>
        </w:rPr>
        <w:t>Усть-Коксинский район</w:t>
      </w:r>
      <w:r w:rsidR="00132B05" w:rsidRPr="00711C9F">
        <w:rPr>
          <w:sz w:val="28"/>
          <w:szCs w:val="28"/>
        </w:rPr>
        <w:t>»</w:t>
      </w:r>
      <w:r w:rsidRPr="00711C9F">
        <w:rPr>
          <w:sz w:val="28"/>
          <w:szCs w:val="28"/>
        </w:rPr>
        <w:t xml:space="preserve"> продолжена работа по обеспечению доступности дошкольного образования. </w:t>
      </w:r>
    </w:p>
    <w:p w14:paraId="01DF0733" w14:textId="22B4F0F6" w:rsidR="4BC497F4" w:rsidRPr="00711C9F" w:rsidRDefault="7D2DAA92" w:rsidP="5AFEF7BD">
      <w:pPr>
        <w:spacing w:line="276" w:lineRule="auto"/>
        <w:ind w:firstLine="709"/>
        <w:jc w:val="both"/>
        <w:rPr>
          <w:sz w:val="28"/>
          <w:szCs w:val="28"/>
        </w:rPr>
      </w:pPr>
      <w:r w:rsidRPr="7D2DAA92">
        <w:rPr>
          <w:sz w:val="28"/>
          <w:szCs w:val="28"/>
        </w:rPr>
        <w:t>Всего дошкольным образованием в МО «Усть-Коксинский район» охвачено 893 воспитанника в возрасте от 1-6 лет. Доля детей в возрасте 1-6 лет, получающих дошкольную образовательную услугу по их содержанию в муниципальных образовательных организациях в общей численности детей в возрасте 1-6 лет в 2020 г. составила 56,0 %. Причина снижения -  несвоевременный ввод в эксплуатацию нового детского сада, в связи с чем отсутствовала возможность создать дополнительные места.</w:t>
      </w:r>
    </w:p>
    <w:p w14:paraId="392F2837" w14:textId="7AE29193" w:rsidR="4BC497F4" w:rsidRPr="00D86F8E" w:rsidRDefault="7D2DAA92" w:rsidP="00711C9F">
      <w:pPr>
        <w:spacing w:line="276" w:lineRule="auto"/>
        <w:ind w:firstLine="709"/>
        <w:jc w:val="both"/>
        <w:rPr>
          <w:sz w:val="28"/>
          <w:szCs w:val="28"/>
        </w:rPr>
      </w:pPr>
      <w:r w:rsidRPr="7D2DAA92">
        <w:rPr>
          <w:sz w:val="28"/>
          <w:szCs w:val="28"/>
        </w:rPr>
        <w:t xml:space="preserve">Вариативные формы предоставления услуг дошкольного образования представлены группами кратковременного пребывания, семейными детскими садами. </w:t>
      </w:r>
    </w:p>
    <w:p w14:paraId="7EBF3AA4" w14:textId="51070521" w:rsidR="2AE23FC2" w:rsidRPr="00711C9F" w:rsidRDefault="2AE23FC2" w:rsidP="00711C9F">
      <w:pPr>
        <w:spacing w:line="276" w:lineRule="auto"/>
        <w:ind w:firstLine="709"/>
        <w:jc w:val="both"/>
        <w:rPr>
          <w:sz w:val="28"/>
          <w:szCs w:val="28"/>
        </w:rPr>
      </w:pPr>
      <w:r w:rsidRPr="00711C9F">
        <w:rPr>
          <w:sz w:val="28"/>
          <w:szCs w:val="28"/>
        </w:rPr>
        <w:t>Однако созданных мест в детских</w:t>
      </w:r>
      <w:r w:rsidRPr="00D86F8E">
        <w:rPr>
          <w:color w:val="70AD47" w:themeColor="accent6"/>
          <w:sz w:val="28"/>
          <w:szCs w:val="28"/>
        </w:rPr>
        <w:t xml:space="preserve"> </w:t>
      </w:r>
      <w:r w:rsidRPr="00711C9F">
        <w:rPr>
          <w:sz w:val="28"/>
          <w:szCs w:val="28"/>
        </w:rPr>
        <w:t xml:space="preserve">садах района недостаточно.  </w:t>
      </w:r>
    </w:p>
    <w:p w14:paraId="0F3CABC7" w14:textId="278634BB" w:rsidR="008707DB" w:rsidRPr="00D86F8E" w:rsidRDefault="21C5AB2C" w:rsidP="21C5AB2C">
      <w:pPr>
        <w:ind w:firstLine="539"/>
        <w:jc w:val="both"/>
        <w:rPr>
          <w:b/>
          <w:sz w:val="28"/>
          <w:szCs w:val="28"/>
        </w:rPr>
      </w:pPr>
      <w:r w:rsidRPr="00D86F8E">
        <w:rPr>
          <w:sz w:val="28"/>
          <w:szCs w:val="28"/>
        </w:rPr>
        <w:t>В 2021 году планируется уменьшение доли детей в возрасте 1-6 лет, получающих дошкольную образовательную услугу в связи с открытием нового детского сада в с. Усть-Кокса на 125 мест в рамках реализации мероприятий по созданию дополнительных мест для детей в возрасте от 1, 5 до 3 лет в образовательных организациях.</w:t>
      </w:r>
    </w:p>
    <w:p w14:paraId="40B66A56" w14:textId="67CBC23A" w:rsidR="1D00DDFC" w:rsidRDefault="364C37B8" w:rsidP="364C37B8">
      <w:pPr>
        <w:ind w:firstLine="539"/>
        <w:jc w:val="both"/>
        <w:rPr>
          <w:color w:val="FF0000"/>
          <w:sz w:val="28"/>
          <w:szCs w:val="28"/>
          <w:highlight w:val="yellow"/>
        </w:rPr>
      </w:pPr>
      <w:r w:rsidRPr="364C37B8">
        <w:rPr>
          <w:sz w:val="28"/>
          <w:szCs w:val="28"/>
        </w:rPr>
        <w:t xml:space="preserve">В перспективе  планируется повышение доли детей в возрасте 1-6 лет, получающих дошкольную образовательную услугу, в связи с вводом нового здания детского сада. </w:t>
      </w:r>
    </w:p>
    <w:p w14:paraId="7F6878E9" w14:textId="6ECE911D" w:rsidR="008707DB" w:rsidRPr="00D86F8E" w:rsidRDefault="008707DB" w:rsidP="364C37B8">
      <w:pPr>
        <w:ind w:firstLine="539"/>
        <w:jc w:val="both"/>
        <w:rPr>
          <w:highlight w:val="yellow"/>
        </w:rPr>
      </w:pPr>
    </w:p>
    <w:p w14:paraId="4C260836" w14:textId="212D7F5F" w:rsidR="008707DB" w:rsidRPr="00D86F8E" w:rsidRDefault="03AAD4C1" w:rsidP="03AAD4C1">
      <w:pPr>
        <w:ind w:firstLine="444"/>
        <w:jc w:val="both"/>
      </w:pPr>
      <w:r w:rsidRPr="03AAD4C1">
        <w:rPr>
          <w:b/>
          <w:bCs/>
          <w:sz w:val="28"/>
          <w:szCs w:val="28"/>
        </w:rPr>
        <w:t>П. 10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Pr="03AAD4C1">
        <w:rPr>
          <w:sz w:val="28"/>
          <w:szCs w:val="28"/>
        </w:rPr>
        <w:t xml:space="preserve"> </w:t>
      </w:r>
    </w:p>
    <w:p w14:paraId="1BEDB003" w14:textId="65C7CDBE" w:rsidR="008707DB" w:rsidRPr="00D86F8E" w:rsidRDefault="03AAD4C1" w:rsidP="03AAD4C1">
      <w:pPr>
        <w:ind w:firstLine="444"/>
        <w:jc w:val="both"/>
      </w:pPr>
      <w:r w:rsidRPr="03AAD4C1">
        <w:rPr>
          <w:sz w:val="28"/>
          <w:szCs w:val="28"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по состоянию на 01.01.2021 г. составила </w:t>
      </w:r>
      <w:r w:rsidRPr="03AAD4C1">
        <w:rPr>
          <w:sz w:val="24"/>
          <w:szCs w:val="24"/>
        </w:rPr>
        <w:t xml:space="preserve">6,019%. </w:t>
      </w:r>
      <w:r w:rsidRPr="03AAD4C1">
        <w:rPr>
          <w:sz w:val="28"/>
          <w:szCs w:val="28"/>
        </w:rPr>
        <w:t xml:space="preserve"> </w:t>
      </w:r>
    </w:p>
    <w:p w14:paraId="5AD67706" w14:textId="1662B46E" w:rsidR="008707DB" w:rsidRPr="00D86F8E" w:rsidRDefault="03AAD4C1" w:rsidP="03AAD4C1">
      <w:pPr>
        <w:ind w:firstLine="444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Численность детей в возрасте 1-6 лет, поставленных на учет для предоставления места в муниципальных дошкольных образовательных организациях, на 01.01.2021 г. составила 96 чел., что меньше  39 чел. или на 28,9 % (01.01.2020 г. - 135 чел.). Это связано с введением  в эксплуатацию в 2020 году нового  детского сада «Тополек» на 60 мест, благодаря чему численность детей, состоящих на учете, была сокращена.</w:t>
      </w:r>
    </w:p>
    <w:p w14:paraId="57E78DAC" w14:textId="29796905" w:rsidR="008707DB" w:rsidRPr="00D86F8E" w:rsidRDefault="03AAD4C1" w:rsidP="03AAD4C1">
      <w:pPr>
        <w:ind w:firstLine="444"/>
        <w:jc w:val="both"/>
        <w:rPr>
          <w:sz w:val="28"/>
          <w:szCs w:val="28"/>
        </w:rPr>
      </w:pPr>
      <w:r w:rsidRPr="03AAD4C1">
        <w:rPr>
          <w:sz w:val="28"/>
          <w:szCs w:val="28"/>
        </w:rPr>
        <w:t xml:space="preserve">В целях увеличения охвата детей дошкольным образованием в муниципальном образовании «Усть-Коксинский район» планируется дальнейшее развитие вариативных форм получения дошкольного образования, таких как: группа кратковременного пребывания, семейные </w:t>
      </w:r>
      <w:r w:rsidRPr="03AAD4C1">
        <w:rPr>
          <w:sz w:val="28"/>
          <w:szCs w:val="28"/>
        </w:rPr>
        <w:lastRenderedPageBreak/>
        <w:t xml:space="preserve">воспитательные группы. С вводом нового детского сада будет решена проблема с очередностью.  </w:t>
      </w:r>
    </w:p>
    <w:p w14:paraId="7285A888" w14:textId="3883573F" w:rsidR="008707DB" w:rsidRPr="00D86F8E" w:rsidRDefault="03AAD4C1" w:rsidP="03AAD4C1">
      <w:pPr>
        <w:ind w:firstLine="564"/>
        <w:jc w:val="both"/>
      </w:pPr>
      <w:r w:rsidRPr="03AAD4C1">
        <w:rPr>
          <w:sz w:val="28"/>
          <w:szCs w:val="28"/>
        </w:rPr>
        <w:t xml:space="preserve">Основной задачей на 2021 году и последующие годы остается повышение доступности и качества дошкольного образования. </w:t>
      </w:r>
    </w:p>
    <w:p w14:paraId="327BECBC" w14:textId="473CB58B" w:rsidR="008707DB" w:rsidRPr="00D86F8E" w:rsidRDefault="45E6DA4D" w:rsidP="45E6DA4D">
      <w:pPr>
        <w:ind w:firstLine="420"/>
        <w:jc w:val="both"/>
        <w:rPr>
          <w:color w:val="FF0000"/>
          <w:sz w:val="28"/>
          <w:szCs w:val="28"/>
        </w:rPr>
      </w:pPr>
      <w:r w:rsidRPr="45E6DA4D">
        <w:rPr>
          <w:sz w:val="28"/>
          <w:szCs w:val="28"/>
        </w:rPr>
        <w:t xml:space="preserve">С вводом филиала детского сада «Радуга» в с. Усть-Кокса на 125 мест все дети, состоящие на учете для предоставления места в ДОО, будут обеспечены местами.  </w:t>
      </w:r>
    </w:p>
    <w:p w14:paraId="3ECB9353" w14:textId="491CA5FA" w:rsidR="45E6DA4D" w:rsidRDefault="45E6DA4D" w:rsidP="45E6DA4D">
      <w:pPr>
        <w:ind w:firstLine="420"/>
        <w:jc w:val="both"/>
      </w:pPr>
    </w:p>
    <w:p w14:paraId="3B2D8D78" w14:textId="599EB24D" w:rsidR="008707DB" w:rsidRPr="00D86F8E" w:rsidRDefault="03AAD4C1" w:rsidP="2373BBD1">
      <w:pPr>
        <w:pStyle w:val="ab"/>
        <w:ind w:left="0" w:firstLine="567"/>
        <w:jc w:val="both"/>
        <w:rPr>
          <w:b/>
          <w:bCs/>
          <w:sz w:val="28"/>
          <w:szCs w:val="28"/>
        </w:rPr>
      </w:pPr>
      <w:r w:rsidRPr="03AAD4C1">
        <w:rPr>
          <w:b/>
          <w:bCs/>
          <w:sz w:val="28"/>
          <w:szCs w:val="28"/>
        </w:rPr>
        <w:t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14:paraId="0FF6382A" w14:textId="6A8068E2" w:rsidR="2373BBD1" w:rsidRPr="00D86F8E" w:rsidRDefault="2B46A06F" w:rsidP="2B46A06F">
      <w:pPr>
        <w:spacing w:line="259" w:lineRule="auto"/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2020 г был проведен частичный капитальный ремонт детского сада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Мурзилка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Юстикская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, детского сада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Веснянка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Тюгурюкская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>,</w:t>
      </w:r>
      <w:r w:rsidR="000542FF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капитальный ремонт детского сада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Башпарак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Сугашская СОШ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>. Доля учреждений, здания которых требуют капитального ремонта в 2020 г. составила 70% от общего числа учреждений, что составляет 12 учреждений.</w:t>
      </w:r>
    </w:p>
    <w:p w14:paraId="7BCF2EA5" w14:textId="1746E820" w:rsidR="09BBC338" w:rsidRPr="00D86F8E" w:rsidRDefault="09BBC338" w:rsidP="09BBC338">
      <w:pPr>
        <w:spacing w:line="259" w:lineRule="auto"/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2020 году начат капитальный ремонт детского сада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Тандалай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Тюнгурская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. </w:t>
      </w:r>
    </w:p>
    <w:p w14:paraId="381F68A5" w14:textId="6C5FF4CD" w:rsidR="09BBC338" w:rsidRPr="00D86F8E" w:rsidRDefault="1D2B03B1" w:rsidP="1D2B03B1">
      <w:pPr>
        <w:spacing w:line="259" w:lineRule="auto"/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2021 году планируется частичный капитальный ремонт детского сада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Берёзка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Кайтанакская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. </w:t>
      </w:r>
    </w:p>
    <w:p w14:paraId="562C75D1" w14:textId="04D982A0" w:rsidR="008707DB" w:rsidRPr="00D86F8E" w:rsidRDefault="21C5AB2C" w:rsidP="21C5AB2C">
      <w:pPr>
        <w:spacing w:line="259" w:lineRule="auto"/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соответствии с экспертным заключением № 071/071116 от 07.11.2016 года, детский сад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Солнышко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Талдинская СОШ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находится в аварийном состоянии. Требуется строительство нового детского сада на 60 мест.</w:t>
      </w:r>
    </w:p>
    <w:p w14:paraId="7FFFB94A" w14:textId="77777777" w:rsidR="008707DB" w:rsidRPr="00D86F8E" w:rsidRDefault="1D00DDFC" w:rsidP="1D00DDFC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1D00DDFC">
        <w:rPr>
          <w:b/>
          <w:bCs/>
          <w:sz w:val="28"/>
          <w:szCs w:val="28"/>
        </w:rPr>
        <w:t>Общее и дополнительное образование</w:t>
      </w:r>
    </w:p>
    <w:p w14:paraId="664355AD" w14:textId="77777777" w:rsidR="008707DB" w:rsidRPr="00D86F8E" w:rsidRDefault="008707DB">
      <w:pPr>
        <w:rPr>
          <w:b/>
          <w:sz w:val="28"/>
          <w:szCs w:val="28"/>
        </w:rPr>
      </w:pPr>
    </w:p>
    <w:p w14:paraId="52FA9C21" w14:textId="4E6CF455" w:rsidR="008707DB" w:rsidRPr="00D86F8E" w:rsidRDefault="7A78F1CD" w:rsidP="7A78F1CD">
      <w:pPr>
        <w:ind w:firstLine="567"/>
        <w:jc w:val="both"/>
        <w:rPr>
          <w:b/>
          <w:bCs/>
          <w:sz w:val="28"/>
          <w:szCs w:val="28"/>
        </w:rPr>
      </w:pPr>
      <w:r w:rsidRPr="00D86F8E">
        <w:rPr>
          <w:b/>
          <w:bCs/>
          <w:sz w:val="28"/>
          <w:szCs w:val="28"/>
        </w:rPr>
        <w:t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14:paraId="39707D9B" w14:textId="544A8420" w:rsidR="008707DB" w:rsidRPr="000542FF" w:rsidRDefault="7A78F1CD" w:rsidP="7A78F1CD">
      <w:pPr>
        <w:ind w:left="-142"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2020 году</w:t>
      </w:r>
      <w:r w:rsidRPr="00D86F8E">
        <w:rPr>
          <w:color w:val="70AD47" w:themeColor="accent6"/>
          <w:sz w:val="28"/>
          <w:szCs w:val="28"/>
        </w:rPr>
        <w:t xml:space="preserve"> </w:t>
      </w:r>
      <w:r w:rsidRPr="000542FF">
        <w:rPr>
          <w:sz w:val="28"/>
          <w:szCs w:val="28"/>
        </w:rPr>
        <w:t xml:space="preserve">аттестаты о среднем общем образовании получили 79 выпускников, что составляет 100%. Комплексный анализ собранных данных по результатам единого государственного экзамена показывает, что повышается качество образования у выпускников. В сравнении с прошлым годом показатель не изменился. </w:t>
      </w:r>
    </w:p>
    <w:p w14:paraId="695301D9" w14:textId="70CA113E" w:rsidR="008707DB" w:rsidRPr="00D86F8E" w:rsidRDefault="00132B05" w:rsidP="7A78F1CD">
      <w:pPr>
        <w:ind w:left="-142" w:firstLine="709"/>
        <w:jc w:val="both"/>
        <w:rPr>
          <w:b/>
          <w:bCs/>
          <w:sz w:val="28"/>
          <w:szCs w:val="28"/>
        </w:rPr>
      </w:pPr>
      <w:r w:rsidRPr="00D86F8E">
        <w:rPr>
          <w:b/>
          <w:bCs/>
          <w:sz w:val="28"/>
          <w:szCs w:val="28"/>
        </w:rPr>
        <w:t>П. 13 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0542FF">
        <w:rPr>
          <w:b/>
          <w:bCs/>
          <w:sz w:val="28"/>
          <w:szCs w:val="28"/>
        </w:rPr>
        <w:t xml:space="preserve"> общеобразовательных учреждений</w:t>
      </w:r>
    </w:p>
    <w:p w14:paraId="3005F0BB" w14:textId="2CA3FAB5" w:rsidR="008707DB" w:rsidRPr="000542FF" w:rsidRDefault="1D00DDFC" w:rsidP="7A78F1CD">
      <w:pPr>
        <w:ind w:left="-142"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Число муниципальных общеобразовательных учреждений, соответствующих современным требованиям обучения, в 2020 г. составляет 13 учреждений</w:t>
      </w:r>
      <w:r w:rsidRPr="1D00DDFC">
        <w:rPr>
          <w:color w:val="FF0000"/>
          <w:sz w:val="28"/>
          <w:szCs w:val="28"/>
        </w:rPr>
        <w:t xml:space="preserve"> </w:t>
      </w:r>
      <w:r w:rsidRPr="1D00DDFC">
        <w:rPr>
          <w:sz w:val="28"/>
          <w:szCs w:val="28"/>
        </w:rPr>
        <w:t>(из 20 учреждений), их доля в общем количестве</w:t>
      </w:r>
      <w:r w:rsidRPr="1D00DDFC">
        <w:rPr>
          <w:color w:val="FF0000"/>
          <w:sz w:val="28"/>
          <w:szCs w:val="28"/>
        </w:rPr>
        <w:t xml:space="preserve"> </w:t>
      </w:r>
      <w:r w:rsidRPr="1D00DDFC">
        <w:rPr>
          <w:sz w:val="28"/>
          <w:szCs w:val="28"/>
        </w:rPr>
        <w:t>составила 65 %.</w:t>
      </w:r>
    </w:p>
    <w:p w14:paraId="562DAB17" w14:textId="036B03CD" w:rsidR="008707DB" w:rsidRPr="00D86F8E" w:rsidRDefault="1D00DDFC" w:rsidP="2CFED611">
      <w:pPr>
        <w:ind w:left="-142"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lastRenderedPageBreak/>
        <w:t>Данный показатель увеличился по сравнению с прошлым годом на 15 %</w:t>
      </w:r>
      <w:r w:rsidRPr="1D00DDFC">
        <w:rPr>
          <w:color w:val="FF0000"/>
          <w:sz w:val="28"/>
          <w:szCs w:val="28"/>
        </w:rPr>
        <w:t xml:space="preserve"> </w:t>
      </w:r>
      <w:r w:rsidRPr="1D00DDFC">
        <w:rPr>
          <w:sz w:val="28"/>
          <w:szCs w:val="28"/>
        </w:rPr>
        <w:t xml:space="preserve">в связи с тем, что на базах образовательных организаций открыты Центры образования «Точка роста» в рамках федерального проекта «Современная школа» национального проекта «Образование». </w:t>
      </w:r>
    </w:p>
    <w:p w14:paraId="046D6364" w14:textId="220F2915" w:rsidR="008707DB" w:rsidRPr="00D86F8E" w:rsidRDefault="03AAD4C1" w:rsidP="2CFED611">
      <w:pPr>
        <w:ind w:left="-142"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 xml:space="preserve">В 2021 г. также ожидается увеличение доли учреждений, соответствующих современным требованиям обучения до 80 % в общей численности общеобразовательных учреждений. Положительная динамика показателя ожидается с введением ещё трех образовательных организаций (МБОУ «Теректинская СОШ», МБОУ «Талдинская СОШ», МБОУ «Чендекская СОШ»), которые будут являться площадками для создания Центров образования естественно-научной и технологической направленностей «Точка роста». Также в школах проводятся ремонты, оснащаются оборудованием. </w:t>
      </w:r>
    </w:p>
    <w:p w14:paraId="03F3AC9E" w14:textId="0A4768FA" w:rsidR="2CFED611" w:rsidRPr="00D86F8E" w:rsidRDefault="03AAD4C1" w:rsidP="2CFED611">
      <w:pPr>
        <w:ind w:left="-142"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 xml:space="preserve">На 2022 год планируется строительство МБОУ «Тихоньская ООШ», в результате чего ожидается увеличение доли учреждений, соответствующих современным требованиям обучения на 5 %. </w:t>
      </w:r>
    </w:p>
    <w:p w14:paraId="62431CDC" w14:textId="77777777" w:rsidR="008707DB" w:rsidRPr="00D86F8E" w:rsidRDefault="008707DB" w:rsidP="2CFED611">
      <w:pPr>
        <w:pStyle w:val="ab"/>
        <w:ind w:left="0" w:firstLine="567"/>
        <w:jc w:val="both"/>
        <w:rPr>
          <w:b/>
          <w:bCs/>
          <w:sz w:val="28"/>
          <w:szCs w:val="28"/>
        </w:rPr>
      </w:pPr>
    </w:p>
    <w:p w14:paraId="7016D1DF" w14:textId="60B87893" w:rsidR="008707DB" w:rsidRPr="00D86F8E" w:rsidRDefault="7A78F1CD">
      <w:pPr>
        <w:pStyle w:val="ab"/>
        <w:ind w:left="0" w:firstLine="567"/>
        <w:jc w:val="both"/>
        <w:rPr>
          <w:b/>
          <w:sz w:val="28"/>
          <w:szCs w:val="28"/>
        </w:rPr>
      </w:pPr>
      <w:r w:rsidRPr="00D86F8E">
        <w:rPr>
          <w:b/>
          <w:bCs/>
          <w:sz w:val="28"/>
          <w:szCs w:val="28"/>
        </w:rPr>
        <w:t>П. 14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</w:t>
      </w:r>
      <w:r w:rsidR="00F433F0">
        <w:rPr>
          <w:b/>
          <w:bCs/>
          <w:sz w:val="28"/>
          <w:szCs w:val="28"/>
        </w:rPr>
        <w:t xml:space="preserve"> общеобразовательных учреждений</w:t>
      </w:r>
    </w:p>
    <w:p w14:paraId="1BDCDB0C" w14:textId="7533E7D6" w:rsidR="008707DB" w:rsidRPr="00D86F8E" w:rsidRDefault="03AAD4C1" w:rsidP="03AAD4C1">
      <w:pPr>
        <w:spacing w:line="259" w:lineRule="auto"/>
        <w:ind w:firstLine="708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Доля муниципальных общеобразовательных учреждений, здания которых требуют капитального ремонта, в 2020 г. составила 25% от общего числа учреждений, по сравнению с прошлым годом показатель снизился в 2 раза. Так как в 10 образовательных организациях проведены капитальные ремонты в связи с предписаниями органов надзора.</w:t>
      </w:r>
    </w:p>
    <w:p w14:paraId="73D37F37" w14:textId="33EF3E1A" w:rsidR="2373BBD1" w:rsidRPr="00D86F8E" w:rsidRDefault="21C5AB2C" w:rsidP="21C5AB2C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2021 г.  планиру</w:t>
      </w:r>
      <w:r w:rsidR="00F433F0">
        <w:rPr>
          <w:sz w:val="28"/>
          <w:szCs w:val="28"/>
        </w:rPr>
        <w:t>ется проведение ремонта в МБОУ «</w:t>
      </w:r>
      <w:r w:rsidRPr="00D86F8E">
        <w:rPr>
          <w:sz w:val="28"/>
          <w:szCs w:val="28"/>
        </w:rPr>
        <w:t>Абайская СОШ</w:t>
      </w:r>
      <w:r w:rsidR="00F433F0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(пристройка кабинетов), ремонт спортивных залов в МБОУ </w:t>
      </w:r>
      <w:r w:rsidR="00F433F0">
        <w:rPr>
          <w:sz w:val="28"/>
          <w:szCs w:val="28"/>
        </w:rPr>
        <w:t>«</w:t>
      </w:r>
      <w:r w:rsidRPr="00D86F8E">
        <w:rPr>
          <w:sz w:val="28"/>
          <w:szCs w:val="28"/>
        </w:rPr>
        <w:t>Усть-Коксинская СОШ</w:t>
      </w:r>
      <w:r w:rsidR="00F433F0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. Филиал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Кучерлинская НОШ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Тюнгурская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капитальный ремонт здания. </w:t>
      </w:r>
    </w:p>
    <w:p w14:paraId="1A40E946" w14:textId="7A6EDE19" w:rsidR="2373BBD1" w:rsidRPr="00D86F8E" w:rsidRDefault="21C5AB2C" w:rsidP="21C5AB2C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2022 г. планируется капитальный ремонт спортивного зала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Юстикская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и строительство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Тихоньская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. </w:t>
      </w:r>
    </w:p>
    <w:p w14:paraId="6A9419DD" w14:textId="0A5F68ED" w:rsidR="2373BBD1" w:rsidRPr="00D86F8E" w:rsidRDefault="2373BBD1" w:rsidP="2373BBD1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2023 г планируется капитальный ремонт МБОУ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Тюгурюкская ООШ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.  </w:t>
      </w:r>
    </w:p>
    <w:p w14:paraId="7D34F5C7" w14:textId="77777777" w:rsidR="008707DB" w:rsidRPr="00D86F8E" w:rsidRDefault="008707DB" w:rsidP="36C3622D">
      <w:pPr>
        <w:ind w:firstLine="708"/>
        <w:jc w:val="both"/>
        <w:rPr>
          <w:b/>
          <w:bCs/>
          <w:sz w:val="28"/>
          <w:szCs w:val="28"/>
        </w:rPr>
      </w:pPr>
    </w:p>
    <w:p w14:paraId="3074974D" w14:textId="15D456D1" w:rsidR="008707DB" w:rsidRPr="00D86F8E" w:rsidRDefault="2CFED611" w:rsidP="2CFED611">
      <w:pPr>
        <w:ind w:firstLine="567"/>
        <w:jc w:val="both"/>
        <w:rPr>
          <w:b/>
          <w:bCs/>
          <w:sz w:val="28"/>
          <w:szCs w:val="28"/>
        </w:rPr>
      </w:pPr>
      <w:r w:rsidRPr="00D86F8E">
        <w:rPr>
          <w:b/>
          <w:bCs/>
          <w:sz w:val="28"/>
          <w:szCs w:val="28"/>
        </w:rPr>
        <w:t>П. 15 Доля детей первой и второй групп здоровья в общей численности обучающихся в муниципальных общеобразовательных учрежден</w:t>
      </w:r>
      <w:r w:rsidR="00F433F0">
        <w:rPr>
          <w:b/>
          <w:bCs/>
          <w:sz w:val="28"/>
          <w:szCs w:val="28"/>
        </w:rPr>
        <w:t>иях</w:t>
      </w:r>
    </w:p>
    <w:p w14:paraId="086E4D29" w14:textId="79F55E8D" w:rsidR="2CFED611" w:rsidRPr="00F433F0" w:rsidRDefault="03AAD4C1" w:rsidP="2CFED611">
      <w:pPr>
        <w:ind w:firstLine="567"/>
        <w:jc w:val="both"/>
        <w:rPr>
          <w:sz w:val="28"/>
          <w:szCs w:val="28"/>
        </w:rPr>
      </w:pPr>
      <w:r w:rsidRPr="03AAD4C1">
        <w:rPr>
          <w:sz w:val="28"/>
          <w:szCs w:val="28"/>
        </w:rPr>
        <w:t xml:space="preserve">В 2020 году численность детей первой и второй групп здоровья, обучающихся в общеобразовательных учреждениях, составила 2136, что на 441 ребенка ниже уровня 2019 года. Доля составляет 74,95%. Показатель снизился незначительно по сравнению с 2019 г. (89,57%) на 14,62 процентных пункта в связи с недостатком физической активности детей, а </w:t>
      </w:r>
      <w:r w:rsidRPr="03AAD4C1">
        <w:rPr>
          <w:sz w:val="28"/>
          <w:szCs w:val="28"/>
        </w:rPr>
        <w:lastRenderedPageBreak/>
        <w:t>также злоупотреблением детьми современными информационно-коммуникативными технологиями.</w:t>
      </w:r>
    </w:p>
    <w:p w14:paraId="2A1F701D" w14:textId="4DFEF20F" w:rsidR="008707DB" w:rsidRPr="00D86F8E" w:rsidRDefault="5AFEF7BD" w:rsidP="5AFEF7BD">
      <w:pPr>
        <w:ind w:firstLine="567"/>
        <w:jc w:val="both"/>
        <w:rPr>
          <w:b/>
          <w:bCs/>
          <w:sz w:val="28"/>
          <w:szCs w:val="28"/>
        </w:rPr>
      </w:pPr>
      <w:r w:rsidRPr="5AFEF7BD">
        <w:rPr>
          <w:sz w:val="28"/>
          <w:szCs w:val="28"/>
        </w:rPr>
        <w:t>Численность детей первой и второй групп здоровья в общей численности обучающихся в муниципальных общеобразовательных учреждениях в 2021 г. планирует увеличиться до 2327, что составит 81,6 %.</w:t>
      </w:r>
    </w:p>
    <w:p w14:paraId="7F2D5E8D" w14:textId="333ED9E2" w:rsidR="008707DB" w:rsidRPr="00D86F8E" w:rsidRDefault="36C3622D">
      <w:pPr>
        <w:ind w:firstLine="567"/>
        <w:jc w:val="both"/>
        <w:rPr>
          <w:b/>
          <w:sz w:val="28"/>
          <w:szCs w:val="28"/>
        </w:rPr>
      </w:pPr>
      <w:r w:rsidRPr="00D86F8E">
        <w:rPr>
          <w:b/>
          <w:bCs/>
          <w:sz w:val="28"/>
          <w:szCs w:val="28"/>
        </w:rPr>
        <w:t xml:space="preserve">П. 16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</w:t>
      </w:r>
      <w:r w:rsidR="00F433F0">
        <w:rPr>
          <w:b/>
          <w:bCs/>
          <w:sz w:val="28"/>
          <w:szCs w:val="28"/>
        </w:rPr>
        <w:t>общеобразовательных учреждениях</w:t>
      </w:r>
    </w:p>
    <w:p w14:paraId="3672E851" w14:textId="5035F027" w:rsidR="36C3622D" w:rsidRPr="00D86F8E" w:rsidRDefault="03AAD4C1" w:rsidP="21C5AB2C">
      <w:pPr>
        <w:ind w:firstLine="567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за 2020 год составила  26,14 %.</w:t>
      </w:r>
    </w:p>
    <w:p w14:paraId="457437E0" w14:textId="59BBF7C3" w:rsidR="5AFEF7BD" w:rsidRDefault="03AAD4C1" w:rsidP="5AFEF7BD">
      <w:pPr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 xml:space="preserve">Число обучающихся в муниципальных общеобразовательных учреждениях, во вторую смену в 2020 г. составило 745 чел., что на 134 ребенка или на 21,9 % больше, чем в 2019 г. (611 чел.). </w:t>
      </w:r>
      <w:r w:rsidRPr="03AAD4C1">
        <w:rPr>
          <w:color w:val="000000" w:themeColor="text1"/>
          <w:sz w:val="28"/>
          <w:szCs w:val="28"/>
        </w:rPr>
        <w:t>Увеличение данного показателя за отчетный период связано с пандемией коронавируса, по рекомендациям контролирующих органов в образовательных учреждениях, чтобы не допускать скопления детей, принято решение обучения во вторую смену.</w:t>
      </w:r>
      <w:r w:rsidRPr="03AAD4C1">
        <w:rPr>
          <w:sz w:val="28"/>
          <w:szCs w:val="28"/>
        </w:rPr>
        <w:t xml:space="preserve"> </w:t>
      </w:r>
    </w:p>
    <w:p w14:paraId="703B10E6" w14:textId="51578AEA" w:rsidR="008707DB" w:rsidRPr="00D86F8E" w:rsidRDefault="21C5AB2C" w:rsidP="21C5AB2C">
      <w:pPr>
        <w:ind w:firstLine="567"/>
        <w:jc w:val="both"/>
        <w:rPr>
          <w:b/>
          <w:bCs/>
          <w:sz w:val="28"/>
          <w:szCs w:val="28"/>
        </w:rPr>
      </w:pPr>
      <w:r w:rsidRPr="00D86F8E">
        <w:rPr>
          <w:b/>
          <w:bCs/>
          <w:sz w:val="28"/>
          <w:szCs w:val="28"/>
        </w:rPr>
        <w:t xml:space="preserve">П. 17 Расходы бюджета муниципального образования на общее образование в расчете на 1 обучающегося в муниципальных </w:t>
      </w:r>
      <w:r w:rsidR="00CF6614">
        <w:rPr>
          <w:b/>
          <w:bCs/>
          <w:sz w:val="28"/>
          <w:szCs w:val="28"/>
        </w:rPr>
        <w:t>общеобразовательных учреждениях</w:t>
      </w:r>
    </w:p>
    <w:p w14:paraId="7507763E" w14:textId="61733534" w:rsidR="008707DB" w:rsidRPr="00D86F8E" w:rsidRDefault="03AAD4C1" w:rsidP="5AFEF7BD">
      <w:pPr>
        <w:ind w:firstLine="567"/>
        <w:jc w:val="both"/>
        <w:rPr>
          <w:color w:val="FF0000"/>
          <w:sz w:val="28"/>
          <w:szCs w:val="28"/>
        </w:rPr>
      </w:pPr>
      <w:r w:rsidRPr="03AAD4C1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2020 г. составили 70,3</w:t>
      </w:r>
      <w:r w:rsidRPr="03AAD4C1">
        <w:rPr>
          <w:color w:val="FF0000"/>
          <w:sz w:val="28"/>
          <w:szCs w:val="28"/>
        </w:rPr>
        <w:t xml:space="preserve"> </w:t>
      </w:r>
      <w:r w:rsidRPr="03AAD4C1">
        <w:rPr>
          <w:sz w:val="28"/>
          <w:szCs w:val="28"/>
        </w:rPr>
        <w:t>тыс. руб., уменьшились по сравнению с 2019 г. на 7,5 тыс. руб. (77,8 тыс. руб.). Уменьшение расходов связано с тем, что средства распределяются для исполнения Предписаний.</w:t>
      </w:r>
    </w:p>
    <w:p w14:paraId="7025DB50" w14:textId="270C6AA2" w:rsidR="008707DB" w:rsidRPr="00D86F8E" w:rsidRDefault="36C3622D">
      <w:pPr>
        <w:ind w:firstLine="567"/>
        <w:jc w:val="both"/>
        <w:rPr>
          <w:b/>
          <w:sz w:val="28"/>
          <w:szCs w:val="28"/>
        </w:rPr>
      </w:pPr>
      <w:r w:rsidRPr="00D86F8E">
        <w:rPr>
          <w:b/>
          <w:bCs/>
          <w:sz w:val="28"/>
          <w:szCs w:val="28"/>
        </w:rPr>
        <w:t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 w:rsidR="00CF6614">
        <w:rPr>
          <w:b/>
          <w:bCs/>
          <w:sz w:val="28"/>
          <w:szCs w:val="28"/>
        </w:rPr>
        <w:t xml:space="preserve"> детей данной возрастной группы</w:t>
      </w:r>
    </w:p>
    <w:p w14:paraId="3EF48F51" w14:textId="01252B8A" w:rsidR="008707DB" w:rsidRPr="00CF6614" w:rsidRDefault="03AAD4C1" w:rsidP="36C3622D">
      <w:pPr>
        <w:ind w:firstLine="555"/>
        <w:jc w:val="both"/>
        <w:rPr>
          <w:sz w:val="28"/>
          <w:szCs w:val="28"/>
        </w:rPr>
      </w:pPr>
      <w:r w:rsidRPr="03AAD4C1">
        <w:rPr>
          <w:sz w:val="28"/>
          <w:szCs w:val="28"/>
        </w:rPr>
        <w:t xml:space="preserve">Численность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2020 году составило 2665 чел., в том числе: </w:t>
      </w:r>
    </w:p>
    <w:p w14:paraId="127329B0" w14:textId="64477BE5" w:rsidR="008707DB" w:rsidRPr="00D86F8E" w:rsidRDefault="1D00DDFC" w:rsidP="1D00DDFC">
      <w:pPr>
        <w:ind w:firstLine="708"/>
        <w:jc w:val="both"/>
        <w:rPr>
          <w:sz w:val="28"/>
          <w:szCs w:val="28"/>
        </w:rPr>
      </w:pPr>
      <w:r w:rsidRPr="1D00DDFC">
        <w:rPr>
          <w:sz w:val="28"/>
          <w:szCs w:val="28"/>
        </w:rPr>
        <w:t xml:space="preserve">В муниципальных образовательных организациях - 1193 чел.; </w:t>
      </w:r>
    </w:p>
    <w:p w14:paraId="077C5D71" w14:textId="17C6A3F5" w:rsidR="008707DB" w:rsidRPr="00D86F8E" w:rsidRDefault="36C3622D" w:rsidP="36C3622D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Детском доме творчества - 828 чел</w:t>
      </w:r>
      <w:r w:rsidR="00CF6614">
        <w:rPr>
          <w:sz w:val="28"/>
          <w:szCs w:val="28"/>
        </w:rPr>
        <w:t>.</w:t>
      </w:r>
      <w:r w:rsidRPr="00D86F8E">
        <w:rPr>
          <w:sz w:val="28"/>
          <w:szCs w:val="28"/>
        </w:rPr>
        <w:t xml:space="preserve">; </w:t>
      </w:r>
    </w:p>
    <w:p w14:paraId="3C1C6926" w14:textId="51E4EF1B" w:rsidR="008707DB" w:rsidRPr="00D86F8E" w:rsidRDefault="36C3622D" w:rsidP="36C3622D">
      <w:pPr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 </w:t>
      </w:r>
      <w:r w:rsidR="00132B05" w:rsidRPr="00D86F8E">
        <w:rPr>
          <w:sz w:val="28"/>
          <w:szCs w:val="28"/>
        </w:rPr>
        <w:tab/>
      </w:r>
      <w:r w:rsidRPr="00D86F8E">
        <w:rPr>
          <w:sz w:val="28"/>
          <w:szCs w:val="28"/>
        </w:rPr>
        <w:t>В Детской юношеской спортивной школе - 423 чел</w:t>
      </w:r>
      <w:r w:rsidR="00CF6614">
        <w:rPr>
          <w:sz w:val="28"/>
          <w:szCs w:val="28"/>
        </w:rPr>
        <w:t>.</w:t>
      </w:r>
      <w:r w:rsidRPr="00D86F8E">
        <w:rPr>
          <w:sz w:val="28"/>
          <w:szCs w:val="28"/>
        </w:rPr>
        <w:t xml:space="preserve">; </w:t>
      </w:r>
    </w:p>
    <w:p w14:paraId="1A513B67" w14:textId="39F9C2C9" w:rsidR="008707DB" w:rsidRPr="00D86F8E" w:rsidRDefault="36C3622D" w:rsidP="36C3622D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Детской школе искусств - 106 чел.;</w:t>
      </w:r>
    </w:p>
    <w:p w14:paraId="3DC684E3" w14:textId="3A8CB111" w:rsidR="008707DB" w:rsidRPr="00D86F8E" w:rsidRDefault="36C3622D" w:rsidP="36C3622D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АПОУ РА ТОТ Усть-Кокса - 115 чел</w:t>
      </w:r>
      <w:r w:rsidR="00CF6614">
        <w:rPr>
          <w:sz w:val="28"/>
          <w:szCs w:val="28"/>
        </w:rPr>
        <w:t>.</w:t>
      </w:r>
    </w:p>
    <w:p w14:paraId="56DEA19D" w14:textId="1CCA566D" w:rsidR="008707DB" w:rsidRPr="00CF6614" w:rsidRDefault="1D00DDFC" w:rsidP="1D00DDFC">
      <w:pPr>
        <w:ind w:firstLine="708"/>
        <w:jc w:val="both"/>
        <w:rPr>
          <w:sz w:val="28"/>
          <w:szCs w:val="28"/>
          <w:highlight w:val="yellow"/>
        </w:rPr>
      </w:pPr>
      <w:r w:rsidRPr="1D00DDFC">
        <w:rPr>
          <w:sz w:val="28"/>
          <w:szCs w:val="28"/>
        </w:rPr>
        <w:t xml:space="preserve">В сравнении с 2019 г. число детей, получающих услуги по дополнительному образованию в организациях различной организационно-правовой форме собственности, увеличилось на 548 чел.  (12%) </w:t>
      </w:r>
    </w:p>
    <w:p w14:paraId="67EC052A" w14:textId="2A4D61BA" w:rsidR="008707DB" w:rsidRPr="00D86F8E" w:rsidRDefault="5AFEF7BD" w:rsidP="629E6EDD">
      <w:pPr>
        <w:ind w:firstLine="555"/>
        <w:jc w:val="both"/>
        <w:rPr>
          <w:sz w:val="28"/>
          <w:szCs w:val="28"/>
        </w:rPr>
      </w:pPr>
      <w:r w:rsidRPr="5AFEF7BD">
        <w:rPr>
          <w:sz w:val="28"/>
          <w:szCs w:val="28"/>
        </w:rPr>
        <w:t>Рост  показателя связан с:</w:t>
      </w:r>
    </w:p>
    <w:p w14:paraId="10499A51" w14:textId="63BEF816" w:rsidR="008707DB" w:rsidRPr="00D86F8E" w:rsidRDefault="1D00DDFC" w:rsidP="629E6EDD">
      <w:pPr>
        <w:pStyle w:val="ab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 w:rsidRPr="1D00DDFC">
        <w:rPr>
          <w:sz w:val="28"/>
          <w:szCs w:val="28"/>
        </w:rPr>
        <w:lastRenderedPageBreak/>
        <w:t xml:space="preserve"> введением новой системы «Навигатор»;</w:t>
      </w:r>
    </w:p>
    <w:p w14:paraId="5A8342CB" w14:textId="74C5ED50" w:rsidR="008707DB" w:rsidRPr="00D86F8E" w:rsidRDefault="629E6EDD" w:rsidP="629E6E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вве</w:t>
      </w:r>
      <w:r w:rsidR="00CF6614">
        <w:rPr>
          <w:sz w:val="28"/>
          <w:szCs w:val="28"/>
        </w:rPr>
        <w:t>дением</w:t>
      </w:r>
      <w:r w:rsidRPr="00D86F8E">
        <w:rPr>
          <w:sz w:val="28"/>
          <w:szCs w:val="28"/>
        </w:rPr>
        <w:t xml:space="preserve"> индивидуальн</w:t>
      </w:r>
      <w:r w:rsidR="00CF6614">
        <w:rPr>
          <w:sz w:val="28"/>
          <w:szCs w:val="28"/>
        </w:rPr>
        <w:t>ой</w:t>
      </w:r>
      <w:r w:rsidRPr="00D86F8E">
        <w:rPr>
          <w:sz w:val="28"/>
          <w:szCs w:val="28"/>
        </w:rPr>
        <w:t xml:space="preserve"> работ</w:t>
      </w:r>
      <w:r w:rsidR="00CF6614">
        <w:rPr>
          <w:sz w:val="28"/>
          <w:szCs w:val="28"/>
        </w:rPr>
        <w:t>ы</w:t>
      </w:r>
      <w:r w:rsidRPr="00D86F8E">
        <w:rPr>
          <w:sz w:val="28"/>
          <w:szCs w:val="28"/>
        </w:rPr>
        <w:t xml:space="preserve"> с каждой образовательной организацией;</w:t>
      </w:r>
    </w:p>
    <w:p w14:paraId="6EDDB180" w14:textId="47E29953" w:rsidR="008707DB" w:rsidRPr="00D86F8E" w:rsidRDefault="1D00DDFC" w:rsidP="629E6E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1D00DDFC">
        <w:rPr>
          <w:sz w:val="28"/>
          <w:szCs w:val="28"/>
        </w:rPr>
        <w:t xml:space="preserve">введением индивидуальной работы с каждым родителем.  </w:t>
      </w:r>
    </w:p>
    <w:p w14:paraId="1FE9F9DE" w14:textId="0FAC1691" w:rsidR="1D00DDFC" w:rsidRDefault="5AFEF7BD" w:rsidP="1D00DDF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5AFEF7BD">
        <w:rPr>
          <w:sz w:val="28"/>
          <w:szCs w:val="28"/>
        </w:rPr>
        <w:t xml:space="preserve"> Проведением еженедельных собраний с руководителями образовательных организаций по вовлечению детей в дополнительное образование. </w:t>
      </w:r>
    </w:p>
    <w:p w14:paraId="4EDAD34F" w14:textId="667726CF" w:rsidR="008707DB" w:rsidRPr="00D86F8E" w:rsidRDefault="5AFEF7BD" w:rsidP="36C3622D">
      <w:pPr>
        <w:ind w:firstLine="555"/>
        <w:jc w:val="both"/>
        <w:rPr>
          <w:sz w:val="28"/>
          <w:szCs w:val="28"/>
        </w:rPr>
      </w:pPr>
      <w:r w:rsidRPr="5AFEF7BD">
        <w:rPr>
          <w:sz w:val="28"/>
          <w:szCs w:val="28"/>
        </w:rPr>
        <w:t>В 2021 году охват детей составляет 76 % от общего числа детей от 5 до 18 лет. До конца учебного планируется охватить детей дополнительным образованием в количестве 2972 обучающихся от общего количества детей в возрасте от 5-18 лет.</w:t>
      </w:r>
    </w:p>
    <w:p w14:paraId="56EE48EE" w14:textId="17CC7AE7" w:rsidR="008707DB" w:rsidRPr="00D86F8E" w:rsidRDefault="5D85DCD3" w:rsidP="00CF6614">
      <w:pPr>
        <w:ind w:firstLine="555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Для достижения показателя в системе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Навигатор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</w:t>
      </w:r>
      <w:r w:rsidR="00CF6614">
        <w:rPr>
          <w:sz w:val="28"/>
          <w:szCs w:val="28"/>
        </w:rPr>
        <w:t>необходимы</w:t>
      </w:r>
      <w:r w:rsidRPr="00D86F8E">
        <w:rPr>
          <w:sz w:val="28"/>
          <w:szCs w:val="28"/>
        </w:rPr>
        <w:t xml:space="preserve"> дополнительные ставки: </w:t>
      </w:r>
      <w:r w:rsidR="00CF6614">
        <w:rPr>
          <w:sz w:val="28"/>
          <w:szCs w:val="28"/>
        </w:rPr>
        <w:t>п</w:t>
      </w:r>
      <w:r w:rsidR="21C5AB2C" w:rsidRPr="00D86F8E">
        <w:rPr>
          <w:sz w:val="28"/>
          <w:szCs w:val="28"/>
        </w:rPr>
        <w:t>о 3 ставки в ДДТ, 3 ставки в ДЮСШ.</w:t>
      </w:r>
    </w:p>
    <w:p w14:paraId="2908EB2C" w14:textId="77777777" w:rsidR="008707DB" w:rsidRPr="00D86F8E" w:rsidRDefault="008707DB">
      <w:pPr>
        <w:ind w:firstLine="709"/>
        <w:jc w:val="both"/>
        <w:rPr>
          <w:sz w:val="28"/>
          <w:szCs w:val="28"/>
          <w:lang w:eastAsia="ru-RU"/>
        </w:rPr>
      </w:pPr>
    </w:p>
    <w:p w14:paraId="7717EC06" w14:textId="77777777" w:rsidR="008707DB" w:rsidRPr="00D86F8E" w:rsidRDefault="00132B05">
      <w:pPr>
        <w:pStyle w:val="ac"/>
        <w:jc w:val="center"/>
        <w:rPr>
          <w:sz w:val="28"/>
          <w:szCs w:val="28"/>
        </w:rPr>
      </w:pPr>
      <w:r w:rsidRPr="00D86F8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86F8E">
        <w:rPr>
          <w:rFonts w:ascii="Times New Roman" w:hAnsi="Times New Roman"/>
          <w:b/>
          <w:sz w:val="28"/>
          <w:szCs w:val="28"/>
        </w:rPr>
        <w:t>. Культура</w:t>
      </w:r>
    </w:p>
    <w:p w14:paraId="121FD38A" w14:textId="77777777" w:rsidR="008707DB" w:rsidRPr="00D86F8E" w:rsidRDefault="008707D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0D9C085C" w14:textId="77777777" w:rsidR="008707DB" w:rsidRPr="00D86F8E" w:rsidRDefault="00132B05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F8E">
        <w:rPr>
          <w:rFonts w:ascii="Times New Roman" w:hAnsi="Times New Roman"/>
          <w:b/>
          <w:sz w:val="28"/>
          <w:szCs w:val="28"/>
        </w:rPr>
        <w:t>П. 19 Уровень фактической обеспеченности учреждениями культуры в городском округе (муниципальном районе) от нормативной потребности</w:t>
      </w:r>
    </w:p>
    <w:p w14:paraId="1223AE0B" w14:textId="106F7C8D" w:rsidR="008707DB" w:rsidRPr="00D86F8E" w:rsidRDefault="03AAD4C1" w:rsidP="23A84FDB">
      <w:pPr>
        <w:spacing w:line="276" w:lineRule="auto"/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 xml:space="preserve">Уровень фактической обеспеченности учреждениями культуры в МО «Усть-Коксинский район» от нормативной потребности в 2020 г. составил: </w:t>
      </w:r>
    </w:p>
    <w:p w14:paraId="2EABA32B" w14:textId="4F38338F" w:rsidR="008707DB" w:rsidRPr="00A13788" w:rsidRDefault="1D00DDFC" w:rsidP="1D00DDFC">
      <w:pPr>
        <w:spacing w:line="276" w:lineRule="auto"/>
        <w:ind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- клубами и учреждениями клубного типа - 87,8 %, по сравнению с 2019 г. остался без изменения. Количество зрительских мест в клубах составляет 2070 мест при нормативной потребности 2357 мест.</w:t>
      </w:r>
    </w:p>
    <w:p w14:paraId="58167091" w14:textId="5B70BAED" w:rsidR="008707DB" w:rsidRPr="00D86F8E" w:rsidRDefault="1D00DDFC" w:rsidP="23A84FDB">
      <w:pPr>
        <w:spacing w:line="276" w:lineRule="auto"/>
        <w:ind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- библиотеками - 86,4 %, что соответствует уровню 2019 г. Количество библиотек не изменилось и составило 19 ед., при нормативной потребности 22 ед. В прогнозе увеличение библиотек не планируется;</w:t>
      </w:r>
    </w:p>
    <w:p w14:paraId="2929414C" w14:textId="4C19779B" w:rsidR="008707DB" w:rsidRPr="00D86F8E" w:rsidRDefault="178B5035" w:rsidP="23A84FDB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- парками культуры и отдыха 0%, т.к. парки культуры и отдыха отсутствуют.</w:t>
      </w:r>
    </w:p>
    <w:p w14:paraId="06BBA33E" w14:textId="03BE3FB0" w:rsidR="008707DB" w:rsidRPr="00D86F8E" w:rsidRDefault="008707DB" w:rsidP="374B68B6">
      <w:pPr>
        <w:pStyle w:val="ac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B870847" w14:textId="64781E67" w:rsidR="008707DB" w:rsidRPr="00D86F8E" w:rsidRDefault="03AAD4C1" w:rsidP="03AAD4C1">
      <w:pPr>
        <w:pStyle w:val="ac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3AAD4C1">
        <w:rPr>
          <w:rFonts w:ascii="Times New Roman" w:hAnsi="Times New Roman"/>
          <w:b/>
          <w:bCs/>
          <w:sz w:val="28"/>
          <w:szCs w:val="28"/>
        </w:rPr>
        <w:t>П. 20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14:paraId="2D7051CB" w14:textId="6D5BE65A" w:rsidR="008707DB" w:rsidRPr="00D86F8E" w:rsidRDefault="374B68B6" w:rsidP="374B68B6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Общее количество муниципальных учреждений культуры составляет 47 ед., из них 20 ед. находятся в аварийном состоянии или требуют капитального ремонта (сельские клубы и дома культуры в с. Талда, с. Сугаш, с. Абай, с. Амур, с. Мараловодка, с. Горбуново, с. Теректа, с. Гагарка, с. Мульта, с. Катанда, с. Тихонькая, с. Тюнгур, с. Кучерла, с. Карагай, с. Банное, с. Баштала, с. Усть-Кокса, с. Березовка, с. Верх-Уймон, с. Огневка). Доля этих учреждений в общем количестве составила 42,6 %, что в сравнении с прошлым годом остал</w:t>
      </w:r>
      <w:r w:rsidR="00A13788">
        <w:rPr>
          <w:sz w:val="28"/>
          <w:szCs w:val="28"/>
        </w:rPr>
        <w:t>ось</w:t>
      </w:r>
      <w:r w:rsidRPr="00D86F8E">
        <w:rPr>
          <w:sz w:val="28"/>
          <w:szCs w:val="28"/>
        </w:rPr>
        <w:t xml:space="preserve"> без изменений. </w:t>
      </w:r>
    </w:p>
    <w:p w14:paraId="62199465" w14:textId="463B5890" w:rsidR="008707DB" w:rsidRPr="00D86F8E" w:rsidRDefault="1D00DDFC" w:rsidP="094BCA02">
      <w:pPr>
        <w:spacing w:line="276" w:lineRule="auto"/>
        <w:ind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lastRenderedPageBreak/>
        <w:t>В целях улучшения технического состояния муниципальных учреждений культуры в 2021 г. запланирован капитальный ремонт одного сельского дома культуры в с. Катанда в рамках реализации национального проекта «Культура».</w:t>
      </w:r>
    </w:p>
    <w:p w14:paraId="0DA123B1" w14:textId="77777777" w:rsidR="008707DB" w:rsidRPr="00D86F8E" w:rsidRDefault="008707DB" w:rsidP="094BCA0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4CEA3D" w14:textId="17BB8C81" w:rsidR="008707DB" w:rsidRPr="00D86F8E" w:rsidRDefault="00132B05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F8E">
        <w:rPr>
          <w:rFonts w:ascii="Times New Roman" w:hAnsi="Times New Roman"/>
          <w:b/>
          <w:sz w:val="28"/>
          <w:szCs w:val="28"/>
        </w:rPr>
        <w:t>П. 21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</w:t>
      </w:r>
      <w:r w:rsidR="00A13788">
        <w:rPr>
          <w:rFonts w:ascii="Times New Roman" w:hAnsi="Times New Roman"/>
          <w:b/>
          <w:sz w:val="28"/>
          <w:szCs w:val="28"/>
        </w:rPr>
        <w:t>я в муниципальной собственности</w:t>
      </w:r>
    </w:p>
    <w:p w14:paraId="0C8FE7CE" w14:textId="3C3F5515" w:rsidR="008707DB" w:rsidRPr="00D86F8E" w:rsidRDefault="7A78F1CD" w:rsidP="7A78F1CD">
      <w:pPr>
        <w:spacing w:line="276" w:lineRule="auto"/>
        <w:ind w:firstLine="705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По состоянию на 01.01.2021 г. в муниципальном распоряжении находятся 26 объектов культурного наследия регионального назначения. Право собственности оформлено на 3 земельных участка, расположенных в границах объекта культурного наследия, на объекты культурного наследия права собственности не оформлены, в связи с тем, что объекты не являются недвижимым имуществом, объекты состоят в реестре муниципального имущества как движимое имущество.</w:t>
      </w:r>
    </w:p>
    <w:p w14:paraId="41004F19" w14:textId="77777777" w:rsidR="008707DB" w:rsidRPr="00D86F8E" w:rsidRDefault="008707DB">
      <w:pPr>
        <w:ind w:firstLine="709"/>
        <w:jc w:val="both"/>
        <w:rPr>
          <w:sz w:val="28"/>
          <w:szCs w:val="28"/>
          <w:lang w:eastAsia="ru-RU"/>
        </w:rPr>
      </w:pPr>
    </w:p>
    <w:p w14:paraId="285B300E" w14:textId="77777777" w:rsidR="008707DB" w:rsidRPr="00D86F8E" w:rsidRDefault="00132B05">
      <w:pPr>
        <w:numPr>
          <w:ilvl w:val="0"/>
          <w:numId w:val="5"/>
        </w:numPr>
        <w:jc w:val="center"/>
        <w:rPr>
          <w:b/>
          <w:sz w:val="28"/>
          <w:szCs w:val="28"/>
          <w:lang w:eastAsia="ru-RU"/>
        </w:rPr>
      </w:pPr>
      <w:r w:rsidRPr="00D86F8E">
        <w:rPr>
          <w:b/>
          <w:sz w:val="28"/>
          <w:szCs w:val="28"/>
          <w:lang w:eastAsia="ru-RU"/>
        </w:rPr>
        <w:t>Физическая культура и спорт</w:t>
      </w:r>
    </w:p>
    <w:p w14:paraId="3FA47E40" w14:textId="4410C933" w:rsidR="008707DB" w:rsidRPr="00D86F8E" w:rsidRDefault="0954AD27" w:rsidP="0954AD27">
      <w:pPr>
        <w:ind w:firstLine="567"/>
        <w:rPr>
          <w:b/>
          <w:bCs/>
          <w:sz w:val="28"/>
          <w:szCs w:val="28"/>
          <w:lang w:eastAsia="ru-RU"/>
        </w:rPr>
      </w:pPr>
      <w:r w:rsidRPr="00D86F8E">
        <w:rPr>
          <w:b/>
          <w:bCs/>
          <w:sz w:val="28"/>
          <w:szCs w:val="28"/>
          <w:lang w:eastAsia="ru-RU"/>
        </w:rPr>
        <w:t>П. 22 Доля населения, систематически занимающегося</w:t>
      </w:r>
      <w:r w:rsidR="00A13788">
        <w:rPr>
          <w:b/>
          <w:bCs/>
          <w:sz w:val="28"/>
          <w:szCs w:val="28"/>
          <w:lang w:eastAsia="ru-RU"/>
        </w:rPr>
        <w:t xml:space="preserve"> физической культурой и спортом</w:t>
      </w:r>
    </w:p>
    <w:p w14:paraId="2EFA4105" w14:textId="3FDB8457" w:rsidR="008707DB" w:rsidRPr="00D86F8E" w:rsidRDefault="54F9CC37" w:rsidP="0954AD27">
      <w:pPr>
        <w:spacing w:line="276" w:lineRule="auto"/>
        <w:ind w:firstLine="709"/>
        <w:jc w:val="both"/>
        <w:rPr>
          <w:sz w:val="28"/>
          <w:szCs w:val="28"/>
        </w:rPr>
      </w:pPr>
      <w:r w:rsidRPr="54F9CC37">
        <w:rPr>
          <w:sz w:val="28"/>
          <w:szCs w:val="28"/>
        </w:rPr>
        <w:t>За отчетный 2020 г. численность лиц, систематически занимающихся физической культурой и спортом, составила  6865 чел.,</w:t>
      </w:r>
      <w:r w:rsidRPr="54F9CC37">
        <w:rPr>
          <w:color w:val="FF0000"/>
          <w:sz w:val="28"/>
          <w:szCs w:val="28"/>
        </w:rPr>
        <w:t xml:space="preserve"> </w:t>
      </w:r>
      <w:r w:rsidRPr="54F9CC37">
        <w:rPr>
          <w:sz w:val="28"/>
          <w:szCs w:val="28"/>
        </w:rPr>
        <w:t>что на  712</w:t>
      </w:r>
      <w:r w:rsidRPr="54F9CC37">
        <w:rPr>
          <w:color w:val="FF0000"/>
          <w:sz w:val="28"/>
          <w:szCs w:val="28"/>
        </w:rPr>
        <w:t xml:space="preserve"> </w:t>
      </w:r>
      <w:r w:rsidRPr="54F9CC37">
        <w:rPr>
          <w:sz w:val="28"/>
          <w:szCs w:val="28"/>
        </w:rPr>
        <w:t xml:space="preserve">чел. или на 11,6 % выше уровня 2019 г. (за 2019 г. – 6 153 чел.). Положительная динамика связана с привлечением большего числа учащихся, рабочей молодежи к занятиям в спортивных секциях, взрослого населения, воспитанников дошкольных образовательных учреждений к занятиям физической культурой и спортом, в том числе подготовке к сдачам нормативов ГТО. </w:t>
      </w:r>
    </w:p>
    <w:p w14:paraId="1785D55B" w14:textId="63DA30C6" w:rsidR="008707DB" w:rsidRPr="00D86F8E" w:rsidRDefault="178B5035" w:rsidP="0954AD27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Кроме того</w:t>
      </w:r>
      <w:r w:rsidR="00A13788">
        <w:rPr>
          <w:sz w:val="28"/>
          <w:szCs w:val="28"/>
        </w:rPr>
        <w:t>,</w:t>
      </w:r>
      <w:r w:rsidRPr="00D86F8E">
        <w:rPr>
          <w:sz w:val="28"/>
          <w:szCs w:val="28"/>
        </w:rPr>
        <w:t xml:space="preserve"> проводится планомерная работа по строительству площадок для занятия спортом в селах района (с.</w:t>
      </w:r>
      <w:r w:rsidR="00A13788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>Усть-Кокса</w:t>
      </w:r>
      <w:r w:rsidR="00A13788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>-</w:t>
      </w:r>
      <w:r w:rsidR="00A13788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>хоккейная коробка). В 2021-2022 гг. предполагается выделение финансовых средств на приобретение спортивного инвентаря для образовательных учреждений района. Кроме того</w:t>
      </w:r>
      <w:r w:rsidR="00A13788">
        <w:rPr>
          <w:sz w:val="28"/>
          <w:szCs w:val="28"/>
        </w:rPr>
        <w:t>,</w:t>
      </w:r>
      <w:r w:rsidRPr="00D86F8E">
        <w:rPr>
          <w:sz w:val="28"/>
          <w:szCs w:val="28"/>
        </w:rPr>
        <w:t xml:space="preserve"> планируется завершить капитальный ремонт стадиона в с. Усть-Кокса.</w:t>
      </w:r>
    </w:p>
    <w:p w14:paraId="662347A3" w14:textId="1226B87A" w:rsidR="008707DB" w:rsidRPr="00D86F8E" w:rsidRDefault="03AAD4C1" w:rsidP="54F9CC37">
      <w:pPr>
        <w:spacing w:line="276" w:lineRule="auto"/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Доля населения, систематически занимающегося физической культурой и спортом, по итогам отчетного года составила 42,8 %, что выше уровня 2019 г. на 4,7 процентных пункта (за 2019 г. – 38,1 %).</w:t>
      </w:r>
    </w:p>
    <w:p w14:paraId="6A553BC5" w14:textId="0B02ECD7" w:rsidR="008707DB" w:rsidRPr="00D86F8E" w:rsidRDefault="54F9CC37" w:rsidP="54F9CC37">
      <w:pPr>
        <w:spacing w:line="276" w:lineRule="auto"/>
        <w:ind w:firstLine="709"/>
        <w:jc w:val="both"/>
        <w:rPr>
          <w:sz w:val="28"/>
          <w:szCs w:val="28"/>
        </w:rPr>
      </w:pPr>
      <w:r w:rsidRPr="54F9CC37">
        <w:rPr>
          <w:sz w:val="28"/>
          <w:szCs w:val="28"/>
        </w:rPr>
        <w:t xml:space="preserve">Численность, занимающихся физической культурой и спортом, на плановые 2021-2023 гг. планируется увеличить за счет привлечения большего числа молодежи, открытия дополнительных спортивных секций. </w:t>
      </w:r>
      <w:r w:rsidRPr="54F9CC37">
        <w:rPr>
          <w:sz w:val="28"/>
          <w:szCs w:val="28"/>
        </w:rPr>
        <w:lastRenderedPageBreak/>
        <w:t xml:space="preserve">Администрацией МО «Усть-Коксинский район» ведется работа по укреплению материально-технической базы. В этих целях администрацией проводится капитальный ремонт стадиона в с. Усть-Кокса для создания полноценного спортивного комплекса, рассматривается вопрос по строительству лыжной базы в с. Усть-Кокса. </w:t>
      </w:r>
    </w:p>
    <w:p w14:paraId="568C698B" w14:textId="0662365E" w:rsidR="008707DB" w:rsidRPr="00D86F8E" w:rsidRDefault="0954AD27" w:rsidP="0954AD27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Несмотря на вышесказанное, остаются проблемы по развитию физической культуры и спорта, связанные с укреплением материально-технической базы. Необходимо обновлять и строить спортивные сооружения для занятий различными видами спорта, в т.ч. строительство физкультурно-оздоровительного центра с универсальным спортивным залом.</w:t>
      </w:r>
    </w:p>
    <w:p w14:paraId="1A939487" w14:textId="77777777" w:rsidR="008707DB" w:rsidRPr="00D86F8E" w:rsidRDefault="008707DB">
      <w:pPr>
        <w:ind w:firstLine="397"/>
        <w:jc w:val="both"/>
        <w:rPr>
          <w:sz w:val="28"/>
          <w:szCs w:val="28"/>
        </w:rPr>
      </w:pPr>
    </w:p>
    <w:p w14:paraId="002C2873" w14:textId="77777777" w:rsidR="008707DB" w:rsidRPr="00D86F8E" w:rsidRDefault="0954AD27" w:rsidP="0954AD27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D86F8E">
        <w:rPr>
          <w:b/>
          <w:bCs/>
          <w:sz w:val="28"/>
          <w:szCs w:val="28"/>
        </w:rPr>
        <w:t>П. 23. Доля обучающихся, систематически занимающихся физической культурой и спортом, в общей численности обучающихся</w:t>
      </w:r>
    </w:p>
    <w:p w14:paraId="70C3FD8F" w14:textId="05BD207F" w:rsidR="008707DB" w:rsidRPr="00D86F8E" w:rsidRDefault="03AAD4C1" w:rsidP="0954AD27">
      <w:pPr>
        <w:spacing w:line="276" w:lineRule="auto"/>
        <w:ind w:firstLine="709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Доля обучающихся, систематически занимающихся физической культурой и спортом, за 2020 г. составила 93,1%. В число занимающихся отнесены обучающиеся, посещающие спортивные кружки при образовательных организациях и организации среднего образования, их численность составила 2 698 чел. (за 2019 г. – 2694 чел.). Количество, занимающихся по различным видам спорта в МБУДО «Усть-Коксинская ДЮСШ» составляет 629 чел., в МОУ ДОД «ДДТ» - 50 чел., остальные посещают спортивные кружки при образовательных организациях и организациях среднего образования.</w:t>
      </w:r>
    </w:p>
    <w:p w14:paraId="54C529ED" w14:textId="1AC5299A" w:rsidR="008707DB" w:rsidRPr="00D86F8E" w:rsidRDefault="4778FCE1" w:rsidP="4778FCE1">
      <w:pPr>
        <w:spacing w:line="276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4778FCE1">
        <w:rPr>
          <w:sz w:val="28"/>
          <w:szCs w:val="28"/>
        </w:rPr>
        <w:t xml:space="preserve">Численность занимающихся физической культурой и спортом на плановые 2020 -2022 гг. планируется обеспечить на 100 % уровне за счет открытия дополнительных спортивных секций, таких как гиревой спорт, ручной мяч, греко-римская борьба. </w:t>
      </w:r>
    </w:p>
    <w:p w14:paraId="5BA75113" w14:textId="334AA30A" w:rsidR="4778FCE1" w:rsidRDefault="4778FCE1" w:rsidP="4778FCE1">
      <w:pPr>
        <w:spacing w:line="276" w:lineRule="auto"/>
        <w:ind w:firstLine="709"/>
        <w:jc w:val="both"/>
      </w:pPr>
    </w:p>
    <w:p w14:paraId="08D22409" w14:textId="77777777" w:rsidR="008707DB" w:rsidRPr="00D86F8E" w:rsidRDefault="00132B05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86F8E">
        <w:rPr>
          <w:b/>
          <w:sz w:val="28"/>
          <w:szCs w:val="28"/>
        </w:rPr>
        <w:t>Жилищное строительство и обеспечение граждан жильем</w:t>
      </w:r>
    </w:p>
    <w:p w14:paraId="1C0157D6" w14:textId="77777777" w:rsidR="008707DB" w:rsidRPr="00D86F8E" w:rsidRDefault="008707DB">
      <w:pPr>
        <w:ind w:left="1287"/>
        <w:jc w:val="both"/>
        <w:rPr>
          <w:b/>
          <w:sz w:val="28"/>
          <w:szCs w:val="28"/>
        </w:rPr>
      </w:pPr>
    </w:p>
    <w:p w14:paraId="6EB27AA3" w14:textId="25937F9C" w:rsidR="008707DB" w:rsidRPr="00D86F8E" w:rsidRDefault="03A7882B" w:rsidP="03A7882B">
      <w:pPr>
        <w:ind w:firstLine="567"/>
        <w:jc w:val="both"/>
        <w:rPr>
          <w:b/>
          <w:bCs/>
          <w:sz w:val="28"/>
          <w:szCs w:val="28"/>
        </w:rPr>
      </w:pPr>
      <w:r w:rsidRPr="00D86F8E">
        <w:rPr>
          <w:b/>
          <w:bCs/>
          <w:sz w:val="28"/>
          <w:szCs w:val="28"/>
        </w:rPr>
        <w:t>П.24 Общая площадь жилых помещений, приходящаяся в</w:t>
      </w:r>
      <w:r w:rsidR="00EC6B72">
        <w:rPr>
          <w:b/>
          <w:bCs/>
          <w:sz w:val="28"/>
          <w:szCs w:val="28"/>
        </w:rPr>
        <w:t xml:space="preserve"> среднем на одного жителя, всего</w:t>
      </w:r>
    </w:p>
    <w:p w14:paraId="418D474C" w14:textId="74B8E939" w:rsidR="008707DB" w:rsidRPr="00D86F8E" w:rsidRDefault="03A7882B" w:rsidP="03A7882B">
      <w:pPr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Общая площадь жилых помещений, приходящаяся в среднем на одного жителя района, составляет 19,880 кв. м., в том числе введенная в действие за 2020 год – 0,372 кв. м./чел.</w:t>
      </w:r>
    </w:p>
    <w:p w14:paraId="04C26B9D" w14:textId="511E3392" w:rsidR="008707DB" w:rsidRPr="00D86F8E" w:rsidRDefault="40F3F961" w:rsidP="03A7882B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На 01.01.2021 г. введено общей площади жилых помещений 5973,0</w:t>
      </w:r>
      <w:r w:rsidRPr="00D86F8E">
        <w:rPr>
          <w:b/>
          <w:bCs/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кв. м (91 здание), в том числе индивидуальное жилищное строительство 5793 кв. м (89 зданий), юридическими лицами </w:t>
      </w:r>
      <w:r w:rsidR="00EC6B72">
        <w:rPr>
          <w:sz w:val="28"/>
          <w:szCs w:val="28"/>
        </w:rPr>
        <w:t xml:space="preserve">- </w:t>
      </w:r>
      <w:r w:rsidRPr="00D86F8E">
        <w:rPr>
          <w:sz w:val="28"/>
          <w:szCs w:val="28"/>
        </w:rPr>
        <w:t>180,0 кв.</w:t>
      </w:r>
      <w:r w:rsidR="00EC6B72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>м (2 здания). Таким образом, процент выполнения плана, утвержденного Министерством регионального развития Республики Алтай за 2020 г. составляет 92,13 % (планом утверждено 6831,6 кв.</w:t>
      </w:r>
      <w:r w:rsidR="00EC6B72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м). </w:t>
      </w:r>
    </w:p>
    <w:p w14:paraId="7751341F" w14:textId="58BEE073" w:rsidR="008707DB" w:rsidRPr="00D86F8E" w:rsidRDefault="54F9CC37" w:rsidP="03A7882B">
      <w:pPr>
        <w:ind w:firstLine="708"/>
        <w:jc w:val="both"/>
        <w:rPr>
          <w:sz w:val="28"/>
          <w:szCs w:val="28"/>
        </w:rPr>
      </w:pPr>
      <w:r w:rsidRPr="54F9CC37">
        <w:rPr>
          <w:sz w:val="28"/>
          <w:szCs w:val="28"/>
        </w:rPr>
        <w:lastRenderedPageBreak/>
        <w:t>В сравнении с прошлым годом наблюдается уменьшение объема ввода жилых помещений на 612 кв.м. или на 9,3 %, в связи со снижением активности населения по вводу жилья.</w:t>
      </w:r>
    </w:p>
    <w:p w14:paraId="3691E7B2" w14:textId="1F3AA08A" w:rsidR="008707DB" w:rsidRPr="00D86F8E" w:rsidRDefault="008707DB" w:rsidP="03A7882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6325D82" w14:textId="05BC75FA" w:rsidR="008707DB" w:rsidRPr="00D86F8E" w:rsidRDefault="7A78F1CD" w:rsidP="03A7882B">
      <w:pPr>
        <w:ind w:firstLine="567"/>
        <w:jc w:val="both"/>
        <w:rPr>
          <w:b/>
          <w:bCs/>
          <w:sz w:val="28"/>
          <w:szCs w:val="28"/>
        </w:rPr>
      </w:pPr>
      <w:r w:rsidRPr="00D86F8E">
        <w:rPr>
          <w:b/>
          <w:bCs/>
          <w:sz w:val="28"/>
          <w:szCs w:val="28"/>
        </w:rPr>
        <w:t xml:space="preserve">П. 25 Площадь земельных участков, предоставленных для строительства в расчете на 10 тыс. </w:t>
      </w:r>
      <w:r w:rsidR="00E34439" w:rsidRPr="00D86F8E">
        <w:rPr>
          <w:b/>
          <w:bCs/>
          <w:sz w:val="28"/>
          <w:szCs w:val="28"/>
        </w:rPr>
        <w:t>чел.</w:t>
      </w:r>
      <w:r w:rsidRPr="00D86F8E">
        <w:rPr>
          <w:b/>
          <w:bCs/>
          <w:sz w:val="28"/>
          <w:szCs w:val="28"/>
        </w:rPr>
        <w:t xml:space="preserve"> населения, в том числе земельных участков, предоставленных для жилищного строительства, индивидуального строительства и комплексного освоения </w:t>
      </w:r>
      <w:r w:rsidR="00EC6B72">
        <w:rPr>
          <w:b/>
          <w:bCs/>
          <w:sz w:val="28"/>
          <w:szCs w:val="28"/>
        </w:rPr>
        <w:t>в целях жилищного строительства</w:t>
      </w:r>
    </w:p>
    <w:p w14:paraId="0C6C2CD5" w14:textId="5BF7BF04" w:rsidR="008707DB" w:rsidRDefault="7A78F1CD" w:rsidP="7A78F1CD">
      <w:pPr>
        <w:ind w:firstLine="708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За 2020 г. на территории муниципального образования «Усть-Коксинский район» было предоставлено для строительства 207 земельных участков общей площадью 37,127 га, из них: 190 земельных участков - для жилищного строительства, индивидуального жилищного строительства, общей площадью 34,360 га., 17 земельных участков - для предпринимательской деятельности, общей площадью 2,767 га.</w:t>
      </w:r>
    </w:p>
    <w:p w14:paraId="709E88E4" w14:textId="5BA20DDE" w:rsidR="008707DB" w:rsidRPr="00D86F8E" w:rsidRDefault="03AAD4C1" w:rsidP="03AAD4C1">
      <w:pPr>
        <w:ind w:firstLine="708"/>
        <w:jc w:val="both"/>
        <w:rPr>
          <w:spacing w:val="-2"/>
          <w:sz w:val="28"/>
          <w:szCs w:val="28"/>
        </w:rPr>
      </w:pPr>
      <w:r w:rsidRPr="03AAD4C1">
        <w:rPr>
          <w:sz w:val="28"/>
          <w:szCs w:val="28"/>
        </w:rPr>
        <w:t>Таким образом, площадь земельных участков, предоставленных для строительства в расчете на 10 тыс. чел.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за 2020 год составила 23,1 га, что на 33,0 % или на 5,7 га больше, чем в 2019 году в связи с увеличением количества земельных участков, предоставляемых для жилищного строительства.</w:t>
      </w:r>
    </w:p>
    <w:p w14:paraId="180E3B8C" w14:textId="1AB46F3C" w:rsidR="2CD28520" w:rsidRDefault="03AAD4C1" w:rsidP="03AAD4C1">
      <w:pPr>
        <w:ind w:firstLine="708"/>
        <w:jc w:val="both"/>
        <w:rPr>
          <w:sz w:val="28"/>
          <w:szCs w:val="28"/>
        </w:rPr>
      </w:pPr>
      <w:r w:rsidRPr="03AAD4C1">
        <w:rPr>
          <w:sz w:val="28"/>
          <w:szCs w:val="28"/>
        </w:rPr>
        <w:t>Увеличение данного показателя произошло за счет активного спроса на земельные участки, введенные в черту населенных пунктов: с. Тюнгур Катандинского сельского поселения и с. Теректа Горбуновского сельского поселения.</w:t>
      </w:r>
    </w:p>
    <w:p w14:paraId="2787CA5F" w14:textId="3EA85F88" w:rsidR="2CD28520" w:rsidRDefault="2CD28520" w:rsidP="2CD28520">
      <w:pPr>
        <w:ind w:firstLine="708"/>
        <w:jc w:val="both"/>
        <w:rPr>
          <w:color w:val="FF0000"/>
        </w:rPr>
      </w:pPr>
    </w:p>
    <w:p w14:paraId="6574980D" w14:textId="77777777" w:rsidR="008707DB" w:rsidRPr="00D86F8E" w:rsidRDefault="00132B05">
      <w:pPr>
        <w:widowControl w:val="0"/>
        <w:ind w:firstLine="567"/>
        <w:jc w:val="both"/>
        <w:rPr>
          <w:b/>
          <w:spacing w:val="-2"/>
          <w:sz w:val="28"/>
          <w:szCs w:val="28"/>
        </w:rPr>
      </w:pPr>
      <w:r w:rsidRPr="00D86F8E">
        <w:rPr>
          <w:b/>
          <w:spacing w:val="-2"/>
          <w:sz w:val="28"/>
          <w:szCs w:val="28"/>
        </w:rPr>
        <w:t>П. 26 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эксплуатацию:</w:t>
      </w:r>
    </w:p>
    <w:p w14:paraId="4596E99F" w14:textId="77777777" w:rsidR="008707DB" w:rsidRPr="00D86F8E" w:rsidRDefault="094BCA02">
      <w:pPr>
        <w:pStyle w:val="Heading"/>
        <w:ind w:firstLine="567"/>
        <w:jc w:val="both"/>
        <w:rPr>
          <w:b/>
          <w:szCs w:val="28"/>
          <w:lang w:val="ru-RU"/>
        </w:rPr>
      </w:pPr>
      <w:r w:rsidRPr="00D86F8E">
        <w:rPr>
          <w:b/>
          <w:bCs/>
          <w:szCs w:val="28"/>
          <w:lang w:val="ru-RU"/>
        </w:rPr>
        <w:t>объектов жилищного строительства - в течение 3 лет;</w:t>
      </w:r>
    </w:p>
    <w:p w14:paraId="0B6BD56A" w14:textId="0ED24F7A" w:rsidR="008707DB" w:rsidRPr="00D86F8E" w:rsidRDefault="00132B05">
      <w:pPr>
        <w:pStyle w:val="Heading"/>
        <w:ind w:firstLine="567"/>
        <w:jc w:val="both"/>
        <w:rPr>
          <w:b/>
          <w:szCs w:val="28"/>
          <w:lang w:val="ru-RU"/>
        </w:rPr>
      </w:pPr>
      <w:r w:rsidRPr="00D86F8E">
        <w:rPr>
          <w:b/>
          <w:szCs w:val="28"/>
          <w:lang w:val="ru-RU"/>
        </w:rPr>
        <w:t xml:space="preserve">иных объектов капитального </w:t>
      </w:r>
      <w:r w:rsidR="001F6397">
        <w:rPr>
          <w:b/>
          <w:szCs w:val="28"/>
          <w:lang w:val="ru-RU"/>
        </w:rPr>
        <w:t>строительства - в течение 5 лет</w:t>
      </w:r>
    </w:p>
    <w:p w14:paraId="6B43599A" w14:textId="6ABC6F25" w:rsidR="094BCA02" w:rsidRPr="00D86F8E" w:rsidRDefault="094BCA02" w:rsidP="001F6397">
      <w:pPr>
        <w:ind w:firstLine="567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разрешения на ввод в эксплуатацию</w:t>
      </w:r>
      <w:r w:rsidR="001F6397">
        <w:rPr>
          <w:sz w:val="28"/>
          <w:szCs w:val="28"/>
        </w:rPr>
        <w:t>,</w:t>
      </w:r>
      <w:r w:rsidRPr="00D86F8E">
        <w:rPr>
          <w:sz w:val="28"/>
          <w:szCs w:val="28"/>
        </w:rPr>
        <w:t xml:space="preserve"> нет.</w:t>
      </w:r>
    </w:p>
    <w:p w14:paraId="41508A3C" w14:textId="77777777" w:rsidR="008707DB" w:rsidRPr="00D86F8E" w:rsidRDefault="008707DB">
      <w:pPr>
        <w:pStyle w:val="Heading"/>
        <w:ind w:firstLine="567"/>
        <w:jc w:val="both"/>
        <w:rPr>
          <w:b/>
          <w:szCs w:val="28"/>
          <w:lang w:val="ru-RU"/>
        </w:rPr>
      </w:pPr>
    </w:p>
    <w:p w14:paraId="43D6B1D6" w14:textId="5DBC21D3" w:rsidR="008707DB" w:rsidRPr="00D86F8E" w:rsidRDefault="00132B05">
      <w:pPr>
        <w:pStyle w:val="Heading"/>
        <w:ind w:firstLine="567"/>
        <w:jc w:val="both"/>
        <w:rPr>
          <w:b/>
          <w:szCs w:val="28"/>
          <w:lang w:val="ru-RU"/>
        </w:rPr>
      </w:pPr>
      <w:r w:rsidRPr="00D86F8E">
        <w:rPr>
          <w:b/>
          <w:szCs w:val="28"/>
          <w:lang w:val="ru-RU"/>
        </w:rPr>
        <w:t>П. 27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</w:r>
    </w:p>
    <w:p w14:paraId="6A4C04D8" w14:textId="77777777" w:rsidR="008707DB" w:rsidRPr="00D86F8E" w:rsidRDefault="7A78F1CD" w:rsidP="7A78F1CD">
      <w:pPr>
        <w:pStyle w:val="Heading"/>
        <w:ind w:firstLine="567"/>
        <w:jc w:val="both"/>
        <w:rPr>
          <w:b/>
          <w:bCs/>
          <w:szCs w:val="28"/>
          <w:lang w:val="ru-RU"/>
        </w:rPr>
      </w:pPr>
      <w:r w:rsidRPr="00D86F8E">
        <w:rPr>
          <w:szCs w:val="28"/>
          <w:lang w:val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</w:t>
      </w:r>
      <w:r w:rsidRPr="00D86F8E">
        <w:rPr>
          <w:szCs w:val="28"/>
          <w:lang w:val="ru-RU"/>
        </w:rPr>
        <w:lastRenderedPageBreak/>
        <w:t>домами, в общем числе многоквартирных домов, в которых собственники помещений должны выбрать способ управления указанными домами, составляет 0 %.</w:t>
      </w:r>
    </w:p>
    <w:p w14:paraId="6F8BD81B" w14:textId="3BDBCD66" w:rsidR="008707DB" w:rsidRPr="00D86F8E" w:rsidRDefault="7A78F1CD" w:rsidP="7A78F1CD">
      <w:pPr>
        <w:pStyle w:val="Heading"/>
        <w:ind w:firstLine="567"/>
        <w:jc w:val="both"/>
        <w:rPr>
          <w:b/>
          <w:bCs/>
          <w:szCs w:val="28"/>
          <w:lang w:val="ru-RU"/>
        </w:rPr>
      </w:pPr>
      <w:r w:rsidRPr="00D86F8E">
        <w:rPr>
          <w:szCs w:val="28"/>
          <w:lang w:val="ru-RU"/>
        </w:rPr>
        <w:t xml:space="preserve">На территории МО </w:t>
      </w:r>
      <w:r w:rsidR="00132B05" w:rsidRPr="00D86F8E">
        <w:rPr>
          <w:szCs w:val="28"/>
          <w:lang w:val="ru-RU"/>
        </w:rPr>
        <w:t>«</w:t>
      </w:r>
      <w:r w:rsidRPr="00D86F8E">
        <w:rPr>
          <w:szCs w:val="28"/>
          <w:lang w:val="ru-RU"/>
        </w:rPr>
        <w:t>Усть-Коксинский район</w:t>
      </w:r>
      <w:r w:rsidR="00132B05" w:rsidRPr="00D86F8E">
        <w:rPr>
          <w:szCs w:val="28"/>
          <w:lang w:val="ru-RU"/>
        </w:rPr>
        <w:t>»</w:t>
      </w:r>
      <w:r w:rsidRPr="00D86F8E">
        <w:rPr>
          <w:szCs w:val="28"/>
          <w:lang w:val="ru-RU"/>
        </w:rPr>
        <w:t xml:space="preserve"> находятся 19 многоквартирных домов, собственники помещений в которых должны выбрать способ управления указанными домами. На 31.12.2020 года способ управления не выбран ни в одном доме. Администрация МО </w:t>
      </w:r>
      <w:r w:rsidR="00132B05" w:rsidRPr="00D86F8E">
        <w:rPr>
          <w:szCs w:val="28"/>
          <w:lang w:val="ru-RU"/>
        </w:rPr>
        <w:t>«</w:t>
      </w:r>
      <w:r w:rsidRPr="00D86F8E">
        <w:rPr>
          <w:szCs w:val="28"/>
          <w:lang w:val="ru-RU"/>
        </w:rPr>
        <w:t>Усть-Коксинский район</w:t>
      </w:r>
      <w:r w:rsidR="00132B05" w:rsidRPr="00D86F8E">
        <w:rPr>
          <w:szCs w:val="28"/>
          <w:lang w:val="ru-RU"/>
        </w:rPr>
        <w:t>»</w:t>
      </w:r>
      <w:r w:rsidRPr="00D86F8E">
        <w:rPr>
          <w:szCs w:val="28"/>
          <w:lang w:val="ru-RU"/>
        </w:rPr>
        <w:t>, в соответствии с частью 4 статьи 161 Жилищного кодекса РФ, провела конкурс по отбору управляющей организации для указанных многоквартирных домов. Ввиду отсутствия заявок на участие, конкурс признан несостоявшимся. В настоящее время объявлен повторный конкурс.</w:t>
      </w:r>
    </w:p>
    <w:p w14:paraId="1037B8A3" w14:textId="77777777" w:rsidR="008707DB" w:rsidRPr="00D86F8E" w:rsidRDefault="008707DB">
      <w:pPr>
        <w:pStyle w:val="Heading"/>
        <w:ind w:firstLine="567"/>
        <w:jc w:val="both"/>
        <w:rPr>
          <w:szCs w:val="28"/>
          <w:lang w:val="ru-RU"/>
        </w:rPr>
      </w:pPr>
    </w:p>
    <w:p w14:paraId="2D00B6AD" w14:textId="318324ED" w:rsidR="008707DB" w:rsidRPr="00D86F8E" w:rsidRDefault="7A78F1CD">
      <w:pPr>
        <w:pStyle w:val="Heading"/>
        <w:ind w:firstLine="567"/>
        <w:jc w:val="both"/>
        <w:rPr>
          <w:b/>
          <w:szCs w:val="28"/>
          <w:lang w:val="ru-RU"/>
        </w:rPr>
      </w:pPr>
      <w:r w:rsidRPr="00D86F8E">
        <w:rPr>
          <w:b/>
          <w:bCs/>
          <w:szCs w:val="28"/>
          <w:lang w:val="ru-RU"/>
        </w:rPr>
        <w:t>П. 28 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</w:r>
    </w:p>
    <w:p w14:paraId="2961D79B" w14:textId="5C220894" w:rsidR="7A78F1CD" w:rsidRPr="00D86F8E" w:rsidRDefault="7A78F1CD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МО «Усть-Коксинский район» составила 0 %.</w:t>
      </w:r>
    </w:p>
    <w:p w14:paraId="79470501" w14:textId="110F647F" w:rsidR="7A78F1CD" w:rsidRPr="00D86F8E" w:rsidRDefault="7A78F1CD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На территории района по данным видам деятельности работают два предприятия: МУП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Тепловодстрой Сервис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(оказывает услуги по водоснабжению) и МУП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Тепло Ресурс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(оказывает услуги по теплоснабжению), в которых участие в уставном капитале муниципального района составляет 100 %.</w:t>
      </w:r>
    </w:p>
    <w:p w14:paraId="2D0B7973" w14:textId="08D291A9" w:rsidR="7A78F1CD" w:rsidRPr="00D86F8E" w:rsidRDefault="7A78F1CD" w:rsidP="7A78F1CD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Организации коммунального комплекса использующие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</w:t>
      </w:r>
      <w:r w:rsidRPr="00D86F8E">
        <w:rPr>
          <w:sz w:val="28"/>
          <w:szCs w:val="28"/>
        </w:rPr>
        <w:lastRenderedPageBreak/>
        <w:t xml:space="preserve">которых составляет не более 25 процентов, на территории МО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Усть-Коксинский район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отсутствуют.</w:t>
      </w:r>
    </w:p>
    <w:p w14:paraId="5B2F9378" w14:textId="77777777" w:rsidR="008707DB" w:rsidRPr="00D86F8E" w:rsidRDefault="008707DB">
      <w:pPr>
        <w:ind w:firstLine="708"/>
        <w:jc w:val="both"/>
        <w:rPr>
          <w:b/>
          <w:sz w:val="28"/>
          <w:szCs w:val="28"/>
        </w:rPr>
      </w:pPr>
    </w:p>
    <w:p w14:paraId="7366B995" w14:textId="37AB8F65" w:rsidR="008707DB" w:rsidRPr="00D86F8E" w:rsidRDefault="7A78F1CD">
      <w:pPr>
        <w:ind w:firstLine="708"/>
        <w:jc w:val="both"/>
        <w:rPr>
          <w:b/>
          <w:sz w:val="28"/>
          <w:szCs w:val="28"/>
        </w:rPr>
      </w:pPr>
      <w:r w:rsidRPr="00D86F8E">
        <w:rPr>
          <w:b/>
          <w:bCs/>
          <w:sz w:val="28"/>
          <w:szCs w:val="28"/>
        </w:rPr>
        <w:t>П. 29 Доля многоквартирных домов, расположенных на земельных участках, в отношении которых осуществлен г</w:t>
      </w:r>
      <w:r w:rsidR="001F6397">
        <w:rPr>
          <w:b/>
          <w:bCs/>
          <w:sz w:val="28"/>
          <w:szCs w:val="28"/>
        </w:rPr>
        <w:t>осударственный кадастровый учет</w:t>
      </w:r>
    </w:p>
    <w:p w14:paraId="2F3D6602" w14:textId="06653146" w:rsidR="7A78F1CD" w:rsidRPr="001F6397" w:rsidRDefault="7A78F1CD" w:rsidP="001F6397">
      <w:pPr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составляет 100 %.</w:t>
      </w:r>
    </w:p>
    <w:p w14:paraId="074921AE" w14:textId="10AA6488" w:rsidR="7A78F1CD" w:rsidRPr="00D86F8E" w:rsidRDefault="7A78F1CD" w:rsidP="001F6397">
      <w:pPr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>За 2020 год было введено в эксплуатацию два 2-хквартирных дома. В настоящее время количество многоквартирных домов, в том числе двухквартирных, на территории района составляет 1085 единиц.</w:t>
      </w:r>
    </w:p>
    <w:p w14:paraId="3B88899E" w14:textId="77777777" w:rsidR="008707DB" w:rsidRPr="001F6397" w:rsidRDefault="008707DB" w:rsidP="001F6397">
      <w:pPr>
        <w:spacing w:line="276" w:lineRule="auto"/>
        <w:ind w:firstLine="709"/>
        <w:jc w:val="both"/>
        <w:rPr>
          <w:sz w:val="28"/>
          <w:szCs w:val="28"/>
        </w:rPr>
      </w:pPr>
    </w:p>
    <w:p w14:paraId="41CA1D34" w14:textId="28C69F6D" w:rsidR="008707DB" w:rsidRPr="00D86F8E" w:rsidRDefault="00132B05">
      <w:pPr>
        <w:ind w:firstLine="567"/>
        <w:jc w:val="both"/>
        <w:rPr>
          <w:b/>
          <w:spacing w:val="-2"/>
          <w:sz w:val="28"/>
          <w:szCs w:val="28"/>
        </w:rPr>
      </w:pPr>
      <w:r w:rsidRPr="00D86F8E">
        <w:rPr>
          <w:b/>
          <w:bCs/>
          <w:spacing w:val="-2"/>
          <w:sz w:val="28"/>
          <w:szCs w:val="28"/>
        </w:rPr>
        <w:t xml:space="preserve">П.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r w:rsidR="001F6397">
        <w:rPr>
          <w:b/>
          <w:bCs/>
          <w:spacing w:val="-2"/>
          <w:sz w:val="28"/>
          <w:szCs w:val="28"/>
        </w:rPr>
        <w:t>нуждающегося в жилых помещениях</w:t>
      </w:r>
    </w:p>
    <w:p w14:paraId="0A1FF417" w14:textId="0C93979A" w:rsidR="008707DB" w:rsidRPr="00D86F8E" w:rsidRDefault="7D2DAA92" w:rsidP="54F9CC37">
      <w:pPr>
        <w:spacing w:line="276" w:lineRule="auto"/>
        <w:ind w:firstLine="709"/>
        <w:jc w:val="both"/>
        <w:rPr>
          <w:sz w:val="28"/>
          <w:szCs w:val="28"/>
        </w:rPr>
      </w:pPr>
      <w:r w:rsidRPr="7D2DAA92">
        <w:rPr>
          <w:sz w:val="28"/>
          <w:szCs w:val="28"/>
        </w:rPr>
        <w:t>Доля населения, получившего жилые помещения и улучшившие жилищные условия отчетном году, в общей численности населения, состоящего на учете в качестве нуждающегося в жилых помещениях составила 7,3%, что ниже показателя 2019 г. на 3,5 процентных пункта (за 2019 г. – 10,8 %).</w:t>
      </w:r>
    </w:p>
    <w:p w14:paraId="7B837EFC" w14:textId="6DFCA405" w:rsidR="008707DB" w:rsidRPr="00D86F8E" w:rsidRDefault="4BC497F4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>Такое уменьшение сложилось по причине того, что в 2020 г. было сокращено финансирование программ по улучшению жилищных условий граждан.</w:t>
      </w:r>
    </w:p>
    <w:p w14:paraId="3AFB93E2" w14:textId="2775AA85" w:rsidR="008707DB" w:rsidRPr="00D86F8E" w:rsidRDefault="4BC497F4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>Численность членов семей, состоявших на учёте в качестве нуждающихся в жилых помещениях на конец прошлого года – 782 чел. Число семей, получивших жилые помещения и улучшивших жилищные условия, на конец отчетного года составило 15 ед. (численность членов семей – 57 чел.), из них 11 – молодые семьи (в т.ч.</w:t>
      </w:r>
      <w:r w:rsidR="001F6397">
        <w:rPr>
          <w:sz w:val="28"/>
          <w:szCs w:val="28"/>
        </w:rPr>
        <w:t xml:space="preserve"> </w:t>
      </w:r>
      <w:r w:rsidRPr="001F6397">
        <w:rPr>
          <w:sz w:val="28"/>
          <w:szCs w:val="28"/>
        </w:rPr>
        <w:t>1 – многодетная семья). В течение года на учёт в качестве нуждающихся в жилых помещениях принят</w:t>
      </w:r>
      <w:r w:rsidR="001F6397">
        <w:rPr>
          <w:sz w:val="28"/>
          <w:szCs w:val="28"/>
        </w:rPr>
        <w:t>о</w:t>
      </w:r>
      <w:r w:rsidRPr="001F6397">
        <w:rPr>
          <w:sz w:val="28"/>
          <w:szCs w:val="28"/>
        </w:rPr>
        <w:t xml:space="preserve"> 22 семьи и 15 семей сняты с учёта, в связи с получением субсидий. Число семей, состоявших на учёте в качестве нуждающихся в жилых помещениях, на конец отчетного года составило 237 ед. (численность членов семей – 782 чел.).</w:t>
      </w:r>
    </w:p>
    <w:p w14:paraId="5B7EA6EF" w14:textId="5208A584" w:rsidR="008707DB" w:rsidRPr="00D86F8E" w:rsidRDefault="7D2DAA92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7D2DAA92">
        <w:rPr>
          <w:sz w:val="28"/>
          <w:szCs w:val="28"/>
        </w:rPr>
        <w:t>В 2020 г. на мероприятия по улучшению жилищных условий граждан, проживающих в сельской местности, выделено всего 2,4 млн. руб., из них 2,4 млн. руб. - федеральный бюджет, 23,9 тыс. руб. - республиканский бюджет, 24,2 тыс. руб. - местный бюджет. Данные средства распределены среди 4 участников программы.</w:t>
      </w:r>
    </w:p>
    <w:p w14:paraId="438E25C2" w14:textId="31B5C0B7" w:rsidR="008707DB" w:rsidRPr="00D86F8E" w:rsidRDefault="4BC497F4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color w:val="70AD47" w:themeColor="accent6"/>
          <w:sz w:val="28"/>
          <w:szCs w:val="28"/>
        </w:rPr>
        <w:lastRenderedPageBreak/>
        <w:t xml:space="preserve"> </w:t>
      </w:r>
    </w:p>
    <w:tbl>
      <w:tblPr>
        <w:tblStyle w:val="ad"/>
        <w:tblW w:w="0" w:type="auto"/>
        <w:tblLayout w:type="fixed"/>
        <w:tblLook w:val="06A0" w:firstRow="1" w:lastRow="0" w:firstColumn="1" w:lastColumn="0" w:noHBand="1" w:noVBand="1"/>
      </w:tblPr>
      <w:tblGrid>
        <w:gridCol w:w="2336"/>
        <w:gridCol w:w="2336"/>
        <w:gridCol w:w="2336"/>
        <w:gridCol w:w="2336"/>
      </w:tblGrid>
      <w:tr w:rsidR="4BC497F4" w:rsidRPr="00D86F8E" w14:paraId="6989C990" w14:textId="77777777" w:rsidTr="7A78F1CD">
        <w:tc>
          <w:tcPr>
            <w:tcW w:w="2336" w:type="dxa"/>
          </w:tcPr>
          <w:p w14:paraId="532ED4A2" w14:textId="7EA066B7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2336" w:type="dxa"/>
          </w:tcPr>
          <w:p w14:paraId="6A42B72D" w14:textId="4C3A7E21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 xml:space="preserve">на начало года, </w:t>
            </w:r>
            <w:r w:rsidRPr="001F6397">
              <w:rPr>
                <w:sz w:val="28"/>
                <w:szCs w:val="28"/>
              </w:rPr>
              <w:t>семей</w:t>
            </w:r>
          </w:p>
        </w:tc>
        <w:tc>
          <w:tcPr>
            <w:tcW w:w="2336" w:type="dxa"/>
          </w:tcPr>
          <w:p w14:paraId="61FADACF" w14:textId="35813F8B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2336" w:type="dxa"/>
          </w:tcPr>
          <w:p w14:paraId="21214983" w14:textId="5E90F2DA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 xml:space="preserve">на конец года, </w:t>
            </w:r>
            <w:r w:rsidRPr="001F6397">
              <w:rPr>
                <w:sz w:val="28"/>
                <w:szCs w:val="28"/>
              </w:rPr>
              <w:t>семей</w:t>
            </w:r>
          </w:p>
        </w:tc>
      </w:tr>
      <w:tr w:rsidR="4BC497F4" w:rsidRPr="00D86F8E" w14:paraId="48BFB921" w14:textId="77777777" w:rsidTr="7A78F1CD">
        <w:tc>
          <w:tcPr>
            <w:tcW w:w="2336" w:type="dxa"/>
          </w:tcPr>
          <w:p w14:paraId="2EB1B4A9" w14:textId="67F36F74" w:rsidR="4BC497F4" w:rsidRPr="00D86F8E" w:rsidRDefault="4BC497F4" w:rsidP="4BC497F4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2336" w:type="dxa"/>
          </w:tcPr>
          <w:p w14:paraId="36465E85" w14:textId="27478DB0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118</w:t>
            </w:r>
          </w:p>
        </w:tc>
        <w:tc>
          <w:tcPr>
            <w:tcW w:w="2336" w:type="dxa"/>
          </w:tcPr>
          <w:p w14:paraId="6FF3F69B" w14:textId="39F681E9" w:rsidR="4BC497F4" w:rsidRPr="00D86F8E" w:rsidRDefault="7A78F1CD" w:rsidP="7A78F1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14:paraId="139B6F31" w14:textId="1791B3CC" w:rsidR="4BC497F4" w:rsidRPr="00D86F8E" w:rsidRDefault="7A78F1CD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112</w:t>
            </w:r>
          </w:p>
        </w:tc>
      </w:tr>
      <w:tr w:rsidR="4BC497F4" w:rsidRPr="00D86F8E" w14:paraId="7C91E4BB" w14:textId="77777777" w:rsidTr="7A78F1CD">
        <w:tc>
          <w:tcPr>
            <w:tcW w:w="2336" w:type="dxa"/>
          </w:tcPr>
          <w:p w14:paraId="1511A67C" w14:textId="064E04E6" w:rsidR="4BC497F4" w:rsidRPr="00D86F8E" w:rsidRDefault="001F6397" w:rsidP="4BC497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т.ч. </w:t>
            </w:r>
            <w:r w:rsidR="4BC497F4" w:rsidRPr="00D86F8E">
              <w:rPr>
                <w:sz w:val="28"/>
                <w:szCs w:val="28"/>
              </w:rPr>
              <w:t>многодетные</w:t>
            </w:r>
          </w:p>
        </w:tc>
        <w:tc>
          <w:tcPr>
            <w:tcW w:w="2336" w:type="dxa"/>
          </w:tcPr>
          <w:p w14:paraId="2609C1A3" w14:textId="04716E5D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14:paraId="1BEE774A" w14:textId="56CC2C63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419C0179" w14:textId="41384B4B" w:rsidR="4BC497F4" w:rsidRPr="00D86F8E" w:rsidRDefault="7A78F1CD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37</w:t>
            </w:r>
          </w:p>
        </w:tc>
      </w:tr>
      <w:tr w:rsidR="4BC497F4" w:rsidRPr="00D86F8E" w14:paraId="3FCB6718" w14:textId="77777777" w:rsidTr="7A78F1CD">
        <w:tc>
          <w:tcPr>
            <w:tcW w:w="2336" w:type="dxa"/>
          </w:tcPr>
          <w:p w14:paraId="42B9C679" w14:textId="064CF7B0" w:rsidR="4BC497F4" w:rsidRPr="00D86F8E" w:rsidRDefault="4BC497F4" w:rsidP="4BC497F4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2336" w:type="dxa"/>
          </w:tcPr>
          <w:p w14:paraId="1D37E27D" w14:textId="7ADD69BA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14:paraId="7E839FE4" w14:textId="781A5188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14:paraId="1FA57D47" w14:textId="3770E810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20</w:t>
            </w:r>
          </w:p>
        </w:tc>
      </w:tr>
      <w:tr w:rsidR="4BC497F4" w:rsidRPr="00D86F8E" w14:paraId="7D7F697C" w14:textId="77777777" w:rsidTr="7A78F1CD">
        <w:tc>
          <w:tcPr>
            <w:tcW w:w="2336" w:type="dxa"/>
          </w:tcPr>
          <w:p w14:paraId="38680668" w14:textId="7B213F13" w:rsidR="4BC497F4" w:rsidRPr="00D86F8E" w:rsidRDefault="4BC497F4" w:rsidP="4BC497F4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инвалиды</w:t>
            </w:r>
          </w:p>
        </w:tc>
        <w:tc>
          <w:tcPr>
            <w:tcW w:w="2336" w:type="dxa"/>
          </w:tcPr>
          <w:p w14:paraId="4968B81D" w14:textId="5C43B170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14:paraId="5E178D82" w14:textId="34AAEAAF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14:paraId="5E60E68B" w14:textId="120D7C75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7</w:t>
            </w:r>
          </w:p>
        </w:tc>
      </w:tr>
      <w:tr w:rsidR="4BC497F4" w:rsidRPr="00D86F8E" w14:paraId="60D36245" w14:textId="77777777" w:rsidTr="7A78F1CD">
        <w:tc>
          <w:tcPr>
            <w:tcW w:w="2336" w:type="dxa"/>
          </w:tcPr>
          <w:p w14:paraId="283DFFA4" w14:textId="6FE63C41" w:rsidR="4BC497F4" w:rsidRPr="00D86F8E" w:rsidRDefault="4BC497F4" w:rsidP="4BC497F4">
            <w:pPr>
              <w:spacing w:line="276" w:lineRule="auto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14:paraId="7BDE2695" w14:textId="7DC60650" w:rsidR="4BC497F4" w:rsidRPr="00D86F8E" w:rsidRDefault="4BC497F4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180</w:t>
            </w:r>
          </w:p>
        </w:tc>
        <w:tc>
          <w:tcPr>
            <w:tcW w:w="2336" w:type="dxa"/>
          </w:tcPr>
          <w:p w14:paraId="2EEA49B8" w14:textId="4E1403C8" w:rsidR="4BC497F4" w:rsidRPr="00D86F8E" w:rsidRDefault="7A78F1CD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14:paraId="7AAA8206" w14:textId="55C8B6A3" w:rsidR="4BC497F4" w:rsidRPr="00D86F8E" w:rsidRDefault="7A78F1CD" w:rsidP="4BC49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6F8E">
              <w:rPr>
                <w:sz w:val="28"/>
                <w:szCs w:val="28"/>
              </w:rPr>
              <w:t>176</w:t>
            </w:r>
          </w:p>
        </w:tc>
      </w:tr>
    </w:tbl>
    <w:p w14:paraId="2F38F15E" w14:textId="096D0954" w:rsidR="008707DB" w:rsidRPr="00D86F8E" w:rsidRDefault="4BC497F4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color w:val="70AD47" w:themeColor="accent6"/>
          <w:sz w:val="28"/>
          <w:szCs w:val="28"/>
        </w:rPr>
        <w:t xml:space="preserve"> </w:t>
      </w:r>
    </w:p>
    <w:p w14:paraId="76128549" w14:textId="0ECBCB31" w:rsidR="008707DB" w:rsidRPr="00D86F8E" w:rsidRDefault="4BC497F4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>В 2020 г. на мероприятия по улучшению жилищных условий граждан поступило всего социальных выплат 3,9 млн. руб</w:t>
      </w:r>
      <w:r w:rsidR="00D85A01">
        <w:rPr>
          <w:sz w:val="28"/>
          <w:szCs w:val="28"/>
        </w:rPr>
        <w:t>.</w:t>
      </w:r>
      <w:r w:rsidRPr="001F6397">
        <w:rPr>
          <w:sz w:val="28"/>
          <w:szCs w:val="28"/>
        </w:rPr>
        <w:t xml:space="preserve"> из них 3,06 млн. руб. - федеральный бюджет, 30,9 тыс. руб. - республиканский бюджет, 0,79 млн. руб. - местный бюджет. Данные средства распределены среди 11 участников программы, из них 1 семья многодетная.</w:t>
      </w:r>
    </w:p>
    <w:p w14:paraId="29671A65" w14:textId="1E4EEB0A" w:rsidR="008707DB" w:rsidRPr="00D86F8E" w:rsidRDefault="7D2DAA92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7D2DAA92">
        <w:rPr>
          <w:sz w:val="28"/>
          <w:szCs w:val="28"/>
        </w:rPr>
        <w:t>На обеспечение жильем нуждающихся в улучшении жилищных условий отдельных категорий граждан, установленных Федеральным законом от 24.11.1995 г. № 181-ФЗ «О социальной защите инвалидов Российской Федерации», Федеральным законом от 12.01.1995 г. № 5-ФЗ «О ветеранах», в 2020 г. социальных выплат не было.</w:t>
      </w:r>
    </w:p>
    <w:p w14:paraId="5729AA02" w14:textId="1E63F814" w:rsidR="008707DB" w:rsidRPr="00D86F8E" w:rsidRDefault="4BC497F4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 xml:space="preserve">Итого всего выделенных средств 6,3 млн. руб., федеральный бюджет – </w:t>
      </w:r>
      <w:r w:rsidRPr="00D86F8E">
        <w:rPr>
          <w:sz w:val="28"/>
          <w:szCs w:val="28"/>
        </w:rPr>
        <w:t>5,46  млн. руб., республиканский бюджет – 0,05 млн. руб., местный бюджет – 0,8 млн. руб.</w:t>
      </w:r>
    </w:p>
    <w:p w14:paraId="71B3D626" w14:textId="27A01ED0" w:rsidR="008707DB" w:rsidRPr="00D86F8E" w:rsidRDefault="4BC497F4" w:rsidP="4BC497F4">
      <w:pPr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>Финансовые средства, поступившие из федерального, республиканского и местного бюджетов использованы своевременно.</w:t>
      </w:r>
    </w:p>
    <w:p w14:paraId="4475AD14" w14:textId="51951B91" w:rsidR="008707DB" w:rsidRPr="00D86F8E" w:rsidRDefault="1D00DDFC" w:rsidP="001F6397">
      <w:pPr>
        <w:spacing w:line="276" w:lineRule="auto"/>
        <w:ind w:firstLine="709"/>
        <w:jc w:val="both"/>
        <w:rPr>
          <w:sz w:val="28"/>
          <w:szCs w:val="28"/>
        </w:rPr>
      </w:pPr>
      <w:r w:rsidRPr="1D00DDFC">
        <w:rPr>
          <w:sz w:val="28"/>
          <w:szCs w:val="28"/>
        </w:rPr>
        <w:t>В 2021 г. планируется выдать субсидии 10 семьям из них: 9 семьям - в рамках подпрограммы «Обеспечение жильем молодых семей» федеральной целевой программы «Жилище», 1 семье - в рамках реализации федеральной целевой программы «Комплексное развитие сельских территорий на 2020 - 2025 годы». Выплат отдельным категориям граждан, установленных  Федеральным законом от 24.11.1995 г. № 181-ФЗ «О социальной защите инвалидов Российской Федерации», Федеральным законом от 12.01.1995 г. № 5-ФЗ «О ветеранах», не запланировано.</w:t>
      </w:r>
    </w:p>
    <w:p w14:paraId="120C4E94" w14:textId="77777777" w:rsidR="008707DB" w:rsidRPr="00D86F8E" w:rsidRDefault="008707DB">
      <w:pPr>
        <w:ind w:firstLine="567"/>
        <w:jc w:val="both"/>
        <w:rPr>
          <w:b/>
          <w:spacing w:val="-2"/>
          <w:sz w:val="28"/>
          <w:szCs w:val="28"/>
        </w:rPr>
      </w:pPr>
    </w:p>
    <w:p w14:paraId="08F0F357" w14:textId="5759BDBD" w:rsidR="008707DB" w:rsidRPr="00D86F8E" w:rsidRDefault="00132B05">
      <w:pPr>
        <w:autoSpaceDE w:val="0"/>
        <w:ind w:firstLine="567"/>
        <w:jc w:val="both"/>
        <w:rPr>
          <w:b/>
          <w:sz w:val="28"/>
          <w:szCs w:val="28"/>
        </w:rPr>
      </w:pPr>
      <w:r w:rsidRPr="00D86F8E">
        <w:rPr>
          <w:b/>
          <w:sz w:val="28"/>
          <w:szCs w:val="28"/>
        </w:rPr>
        <w:t>П.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</w:t>
      </w:r>
      <w:r w:rsidR="001F6397">
        <w:rPr>
          <w:b/>
          <w:sz w:val="28"/>
          <w:szCs w:val="28"/>
        </w:rPr>
        <w:t>без учета субвенций)</w:t>
      </w:r>
    </w:p>
    <w:p w14:paraId="6DDCCD20" w14:textId="3DD30BB5" w:rsidR="008707DB" w:rsidRPr="00D86F8E" w:rsidRDefault="21C5AB2C" w:rsidP="0F186CF6">
      <w:pPr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F8E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</w:t>
      </w:r>
      <w:r w:rsidRPr="00D86F8E">
        <w:rPr>
          <w:b/>
          <w:bCs/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в отчетном году составила 26,6 %, что больше предыдущего года на 8,3 процентных пунктов в связи с увеличением поступления налоговых и неналоговых доходов на 17,2 %, а также уменьшением объема безвозмездных поступлений (кроме субвенций) на 19,6 %.  </w:t>
      </w:r>
    </w:p>
    <w:p w14:paraId="188A187B" w14:textId="74F3BFAA" w:rsidR="21C5AB2C" w:rsidRPr="00D86F8E" w:rsidRDefault="21C5AB2C" w:rsidP="001F639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F6397">
        <w:rPr>
          <w:sz w:val="28"/>
          <w:szCs w:val="28"/>
        </w:rPr>
        <w:t xml:space="preserve">Причина увеличения налоговых и неналоговых доходов с предыдущим финансовым годом связана с ростом поступлений: НДФЛ </w:t>
      </w:r>
      <w:r w:rsidRPr="00D86F8E">
        <w:rPr>
          <w:sz w:val="28"/>
          <w:szCs w:val="28"/>
        </w:rPr>
        <w:t xml:space="preserve">на 3886,8 тыс.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, УСН на 12242,2 тыс.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, ЕНВД на 472,0 тыс.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, НИО на 4451,9 тыс.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, доходы от аренды земельных участков на 8377,7 тыс.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, доходы от реализации имущества на 726,7 тыс. </w:t>
      </w:r>
      <w:r w:rsidR="00D85A01">
        <w:rPr>
          <w:sz w:val="28"/>
          <w:szCs w:val="28"/>
        </w:rPr>
        <w:t>руб.</w:t>
      </w:r>
    </w:p>
    <w:p w14:paraId="2D6034D0" w14:textId="12FD5B24" w:rsidR="21477DB7" w:rsidRPr="00D86F8E" w:rsidRDefault="21C5AB2C" w:rsidP="21477DB7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Уменьшение безвозмездных поступлений в сравнении с 2019 г. по безвозмездным поступлениям (без учета субвенций) составило 192,3 млн. руб., в том числе дотации бюджетам бюджетной системы Российской Федерации на 4,8 млн. руб. или 2,3 %, по субсидиям на 187,5 млн. руб. или на 61,8 %, из них 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на 87,5 млн.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 или на 100 %, 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до трех лет в общеобразовательных организациях на 43,9 млн.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 или на 100 %,  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 на 17,5 млн.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 или в 2,5 раза, создание новых мест в общеобразовательных организациях (субсидии на капитальные вложения в объекты муниципальной собственности) на 29,6 млн.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 или на 42,8 %.</w:t>
      </w:r>
    </w:p>
    <w:p w14:paraId="3CB648E9" w14:textId="757F1D35" w:rsidR="008707DB" w:rsidRPr="00D86F8E" w:rsidRDefault="21C5AB2C" w:rsidP="21477DB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планируемом периоде ожидается: в 2021 г. 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</w:r>
      <w:r w:rsidRPr="00D86F8E">
        <w:rPr>
          <w:sz w:val="28"/>
          <w:szCs w:val="28"/>
        </w:rPr>
        <w:lastRenderedPageBreak/>
        <w:t xml:space="preserve">образования (без учета субвенций) до 25,12 % в связи с уменьшением объема безвозмездных поступлений (без учета субвенций) на 53,1 млн.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 или на 7,9 % , в 2022 г. снижение до 23,61 % в связи с увеличением объема безвозмездных поступлений (без учета субвенций) на 67,6 млн.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 xml:space="preserve"> или на 10,2 %, и 2023 г. до 33,29 % объясняется увеличением налоговых и неналоговых доходов и уменьшением безвозмездных поступлений.</w:t>
      </w:r>
    </w:p>
    <w:p w14:paraId="0C178E9E" w14:textId="77777777" w:rsidR="008707DB" w:rsidRPr="00D86F8E" w:rsidRDefault="008707DB">
      <w:pPr>
        <w:autoSpaceDE w:val="0"/>
        <w:ind w:firstLine="567"/>
        <w:jc w:val="both"/>
        <w:rPr>
          <w:sz w:val="28"/>
          <w:szCs w:val="28"/>
        </w:rPr>
      </w:pPr>
    </w:p>
    <w:p w14:paraId="66BA894F" w14:textId="3AF4C6C5" w:rsidR="008707DB" w:rsidRPr="00D86F8E" w:rsidRDefault="00132B05">
      <w:pPr>
        <w:autoSpaceDE w:val="0"/>
        <w:ind w:firstLine="567"/>
        <w:jc w:val="both"/>
        <w:rPr>
          <w:b/>
          <w:spacing w:val="-2"/>
          <w:sz w:val="28"/>
          <w:szCs w:val="28"/>
        </w:rPr>
      </w:pPr>
      <w:r w:rsidRPr="00D86F8E">
        <w:rPr>
          <w:b/>
          <w:spacing w:val="-2"/>
          <w:sz w:val="28"/>
          <w:szCs w:val="28"/>
        </w:rPr>
        <w:t>П.</w:t>
      </w:r>
      <w:r w:rsidR="001F6397">
        <w:rPr>
          <w:b/>
          <w:spacing w:val="-2"/>
          <w:sz w:val="28"/>
          <w:szCs w:val="28"/>
        </w:rPr>
        <w:t xml:space="preserve"> </w:t>
      </w:r>
      <w:r w:rsidRPr="00D86F8E">
        <w:rPr>
          <w:b/>
          <w:spacing w:val="-2"/>
          <w:sz w:val="28"/>
          <w:szCs w:val="28"/>
        </w:rPr>
        <w:t>32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</w:t>
      </w:r>
      <w:r w:rsidR="001F6397">
        <w:rPr>
          <w:b/>
          <w:spacing w:val="-2"/>
          <w:sz w:val="28"/>
          <w:szCs w:val="28"/>
        </w:rPr>
        <w:t>а, по полной учетной стоимости)</w:t>
      </w:r>
    </w:p>
    <w:p w14:paraId="31E75E97" w14:textId="2E9D2CD6" w:rsidR="008707DB" w:rsidRPr="00D86F8E" w:rsidRDefault="03A7882B" w:rsidP="21477DB7">
      <w:pPr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F8E">
        <w:rPr>
          <w:sz w:val="28"/>
          <w:szCs w:val="28"/>
        </w:rPr>
        <w:t>Доля стоимости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Pr="00D86F8E">
        <w:rPr>
          <w:b/>
          <w:bCs/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составила в 2020 г. 0 %, что соответствует уровню 2019 г., так как организации муниципальной формы собственности, находящиеся в стадии банкротства, на территории муниципального района отсутствуют.  </w:t>
      </w:r>
    </w:p>
    <w:p w14:paraId="363028C9" w14:textId="58C1FEB5" w:rsidR="008707DB" w:rsidRPr="00D86F8E" w:rsidRDefault="03A7882B" w:rsidP="21477DB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Полная учетная стоимость основных фондов организаций муниципальной формы собственности по итогам 2020 г. составила 875,2 млн. руб., что на 22,9 % больше учетной стоимости основных фондов организаций муниципальной формы собственности предыдущего года в связи с приобретением основных средств (автомобилей, спортивного оборудования, компьютерной техники, мебели, жилого дома и т.д.), а также вводом в эксплуатацию построенных объектов (детского сада в с. Усть-Кокса по ул. Ключевая 9А общей стоимостью 62,7 млн. руб</w:t>
      </w:r>
      <w:r w:rsidR="001F6397">
        <w:rPr>
          <w:sz w:val="28"/>
          <w:szCs w:val="28"/>
        </w:rPr>
        <w:t>.</w:t>
      </w:r>
      <w:r w:rsidRPr="00D86F8E">
        <w:rPr>
          <w:sz w:val="28"/>
          <w:szCs w:val="28"/>
        </w:rPr>
        <w:t xml:space="preserve">). </w:t>
      </w:r>
    </w:p>
    <w:p w14:paraId="755AB16C" w14:textId="2653FA71" w:rsidR="008707DB" w:rsidRPr="00D86F8E" w:rsidRDefault="37502EDC" w:rsidP="21477DB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плановом периоде планируется увеличение полной учетной стоимости основных фондов организаций муниципальной формы собственности в связи с вводом в эксплуатацию объектов муниципальной собственности по завершенным объектам капитального строительства, так в 2021 г. вводятся в эксплуатацию детский сад в с. Усть-Кокса по ул. Нагорная, 99 общей стоимостью 135,0 млн. руб</w:t>
      </w:r>
      <w:r w:rsidR="001F6397">
        <w:rPr>
          <w:sz w:val="28"/>
          <w:szCs w:val="28"/>
        </w:rPr>
        <w:t>.</w:t>
      </w:r>
      <w:r w:rsidRPr="00D86F8E">
        <w:rPr>
          <w:sz w:val="28"/>
          <w:szCs w:val="28"/>
        </w:rPr>
        <w:t xml:space="preserve"> и водопровода в с. Усть-Кокса микрорайон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Башталинка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общей стоимостью 55,7 млн. руб</w:t>
      </w:r>
      <w:r w:rsidR="001F6397">
        <w:rPr>
          <w:sz w:val="28"/>
          <w:szCs w:val="28"/>
        </w:rPr>
        <w:t>.</w:t>
      </w:r>
      <w:r w:rsidRPr="00D86F8E">
        <w:rPr>
          <w:sz w:val="28"/>
          <w:szCs w:val="28"/>
        </w:rPr>
        <w:t>, в 2022 г. планируется ввести школу в с. Усть-Кокса общей стоимостью 294,8 млн. руб</w:t>
      </w:r>
      <w:r w:rsidR="001F6397">
        <w:rPr>
          <w:sz w:val="28"/>
          <w:szCs w:val="28"/>
        </w:rPr>
        <w:t>.</w:t>
      </w:r>
      <w:r w:rsidRPr="00D86F8E">
        <w:rPr>
          <w:sz w:val="28"/>
          <w:szCs w:val="28"/>
        </w:rPr>
        <w:t>, в 2023 г. - детский сад в с. Талда общей стоимостью 119,9 млн. руб</w:t>
      </w:r>
      <w:r w:rsidR="001F6397">
        <w:rPr>
          <w:sz w:val="28"/>
          <w:szCs w:val="28"/>
        </w:rPr>
        <w:t>.</w:t>
      </w:r>
    </w:p>
    <w:p w14:paraId="3C0395D3" w14:textId="63D81BAA" w:rsidR="008707DB" w:rsidRPr="00D86F8E" w:rsidRDefault="008707DB" w:rsidP="21477DB7">
      <w:pPr>
        <w:autoSpaceDE w:val="0"/>
        <w:ind w:firstLine="567"/>
        <w:jc w:val="both"/>
        <w:rPr>
          <w:b/>
          <w:bCs/>
          <w:spacing w:val="-2"/>
          <w:sz w:val="28"/>
          <w:szCs w:val="28"/>
        </w:rPr>
      </w:pPr>
    </w:p>
    <w:p w14:paraId="5A5DE855" w14:textId="7AB116D9" w:rsidR="008707DB" w:rsidRPr="00D86F8E" w:rsidRDefault="00132B05">
      <w:pPr>
        <w:autoSpaceDE w:val="0"/>
        <w:ind w:firstLine="567"/>
        <w:jc w:val="both"/>
        <w:rPr>
          <w:b/>
          <w:spacing w:val="-2"/>
          <w:sz w:val="28"/>
          <w:szCs w:val="28"/>
        </w:rPr>
      </w:pPr>
      <w:r w:rsidRPr="00D86F8E">
        <w:rPr>
          <w:b/>
          <w:spacing w:val="-2"/>
          <w:sz w:val="28"/>
          <w:szCs w:val="28"/>
        </w:rPr>
        <w:t>П. 33 Объем не завершенного в установленные сроки строительства, осуществляемого за счет средств бюджета городского</w:t>
      </w:r>
      <w:r w:rsidR="001F6397">
        <w:rPr>
          <w:b/>
          <w:spacing w:val="-2"/>
          <w:sz w:val="28"/>
          <w:szCs w:val="28"/>
        </w:rPr>
        <w:t xml:space="preserve"> округа (муниципального района)</w:t>
      </w:r>
    </w:p>
    <w:p w14:paraId="42EF2083" w14:textId="20B565C5" w:rsidR="008707DB" w:rsidRPr="00D86F8E" w:rsidRDefault="7D2DAA92" w:rsidP="37502EDC">
      <w:pPr>
        <w:ind w:firstLine="555"/>
        <w:jc w:val="both"/>
        <w:rPr>
          <w:b/>
          <w:bCs/>
          <w:spacing w:val="-4"/>
          <w:sz w:val="28"/>
          <w:szCs w:val="28"/>
        </w:rPr>
      </w:pPr>
      <w:r w:rsidRPr="7D2DAA92">
        <w:rPr>
          <w:sz w:val="28"/>
          <w:szCs w:val="28"/>
        </w:rPr>
        <w:t xml:space="preserve">Объем незавершенного строительства, осуществляемого за счет средств бюджета муниципального района, в 2020 году составляет 17272,70 тыс. руб., </w:t>
      </w:r>
      <w:r w:rsidRPr="7D2DAA92">
        <w:rPr>
          <w:sz w:val="28"/>
          <w:szCs w:val="28"/>
        </w:rPr>
        <w:lastRenderedPageBreak/>
        <w:t>в том числе - водопровод микрорайон «Башталинка». Капитальное строительство водопровода в микрорайне «Башталинка» было начато в 2018 году за счет имеющихся средств республиканского и местного бюджета.   В конце 2020 года в рамках индивидуальной программы социально-экономического развития Республики Алтай на 2020-2024 гг., утвержденной распоряжением Правительства РФ от 09.04.2020 г. № 937-р, (стимулирование жилищного строительства) бюджету муниципального образования доведены лимиты на строительство водопровода микрорайона «Башталинка» с.Усть-Кокса в объеме 38,4 млн. руб., Поэтому в прогнозном периоде начатые объекты капитального строительства планируется вводить с соблюдением срока ввода в эксплуатацию, а водопровод планируется ввести в эксплуатацию в 2021 году.</w:t>
      </w:r>
    </w:p>
    <w:p w14:paraId="7B40C951" w14:textId="77777777" w:rsidR="008707DB" w:rsidRPr="00D86F8E" w:rsidRDefault="008707DB">
      <w:pPr>
        <w:ind w:firstLine="567"/>
        <w:jc w:val="both"/>
        <w:rPr>
          <w:spacing w:val="-4"/>
          <w:sz w:val="28"/>
          <w:szCs w:val="28"/>
        </w:rPr>
      </w:pPr>
    </w:p>
    <w:p w14:paraId="17D20B53" w14:textId="4A31D535" w:rsidR="008707DB" w:rsidRPr="00D86F8E" w:rsidRDefault="00132B05">
      <w:pPr>
        <w:ind w:firstLine="567"/>
        <w:jc w:val="both"/>
        <w:rPr>
          <w:b/>
          <w:sz w:val="28"/>
          <w:szCs w:val="28"/>
        </w:rPr>
      </w:pPr>
      <w:r w:rsidRPr="00D86F8E">
        <w:rPr>
          <w:b/>
          <w:sz w:val="28"/>
          <w:szCs w:val="28"/>
        </w:rPr>
        <w:t>П. 34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</w:t>
      </w:r>
      <w:r w:rsidR="00D85A01">
        <w:rPr>
          <w:b/>
          <w:sz w:val="28"/>
          <w:szCs w:val="28"/>
        </w:rPr>
        <w:t>ая начисления на оплату труда)</w:t>
      </w:r>
    </w:p>
    <w:p w14:paraId="6CA6E6E1" w14:textId="289A5D84" w:rsidR="008707DB" w:rsidRPr="00D86F8E" w:rsidRDefault="37502EDC" w:rsidP="37502E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F8E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отчетном году составляет 0%. На плановый период 2021 - 2023 годы – 0 %.</w:t>
      </w:r>
    </w:p>
    <w:p w14:paraId="2093CA67" w14:textId="74CD2054" w:rsidR="008707DB" w:rsidRPr="00D86F8E" w:rsidRDefault="37502EDC" w:rsidP="37502EDC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Всего в 2020 г. на оплату труда (включая начисления на оплату труда) муниципальных учреждений направлено 541,2 млн. руб., что больше на 6,4 процентных пунктов 2019</w:t>
      </w:r>
      <w:r w:rsidR="00D85A01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>г. в связи с увеличением МРОТ, реализацией Указов Президента Российской Федерации и повышением оплаты труда работникам бюджетной сферы.</w:t>
      </w:r>
    </w:p>
    <w:p w14:paraId="2503B197" w14:textId="77777777" w:rsidR="008707DB" w:rsidRPr="00D86F8E" w:rsidRDefault="008707DB">
      <w:pPr>
        <w:ind w:firstLine="567"/>
        <w:jc w:val="both"/>
        <w:rPr>
          <w:sz w:val="28"/>
          <w:szCs w:val="28"/>
        </w:rPr>
      </w:pPr>
    </w:p>
    <w:p w14:paraId="78969D52" w14:textId="4132F2F5" w:rsidR="008707DB" w:rsidRPr="00D86F8E" w:rsidRDefault="00132B05">
      <w:pPr>
        <w:ind w:firstLine="567"/>
        <w:jc w:val="both"/>
        <w:rPr>
          <w:b/>
          <w:sz w:val="28"/>
          <w:szCs w:val="28"/>
        </w:rPr>
      </w:pPr>
      <w:r w:rsidRPr="00D86F8E">
        <w:rPr>
          <w:b/>
          <w:sz w:val="28"/>
          <w:szCs w:val="28"/>
        </w:rPr>
        <w:t>П. 35 Расходы бюджета муниципального образования на содержание работников органов местного самоуправления в расчете на одного жителя м</w:t>
      </w:r>
      <w:r w:rsidR="00D85A01">
        <w:rPr>
          <w:b/>
          <w:sz w:val="28"/>
          <w:szCs w:val="28"/>
        </w:rPr>
        <w:t>униципального образования</w:t>
      </w:r>
    </w:p>
    <w:p w14:paraId="53AD8BBA" w14:textId="12E83CCA" w:rsidR="008707DB" w:rsidRPr="00D86F8E" w:rsidRDefault="37502EDC" w:rsidP="37502E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6F8E">
        <w:rPr>
          <w:sz w:val="28"/>
          <w:szCs w:val="28"/>
        </w:rPr>
        <w:t xml:space="preserve">Расходы бюджета МО «Усть-Коксинский район» на содержание работников органов местного самоуправления в расчете на одного жителя муниципального образования в отчетном году составили 3848,4 </w:t>
      </w:r>
      <w:r w:rsidR="00D85A01">
        <w:rPr>
          <w:sz w:val="28"/>
          <w:szCs w:val="28"/>
        </w:rPr>
        <w:t>руб.</w:t>
      </w:r>
      <w:r w:rsidRPr="00D86F8E">
        <w:rPr>
          <w:sz w:val="28"/>
          <w:szCs w:val="28"/>
        </w:rPr>
        <w:t>, что больше предыдущего года на 251,</w:t>
      </w:r>
      <w:r w:rsidR="00D85A01">
        <w:rPr>
          <w:sz w:val="28"/>
          <w:szCs w:val="28"/>
        </w:rPr>
        <w:t>3</w:t>
      </w:r>
      <w:r w:rsidRPr="00D86F8E">
        <w:rPr>
          <w:sz w:val="28"/>
          <w:szCs w:val="28"/>
        </w:rPr>
        <w:t xml:space="preserve"> </w:t>
      </w:r>
      <w:r w:rsidR="00D85A01">
        <w:rPr>
          <w:sz w:val="28"/>
          <w:szCs w:val="28"/>
        </w:rPr>
        <w:t>руб.</w:t>
      </w:r>
      <w:r w:rsidRPr="00D86F8E">
        <w:rPr>
          <w:color w:val="FF0000"/>
          <w:sz w:val="28"/>
          <w:szCs w:val="28"/>
        </w:rPr>
        <w:t xml:space="preserve"> </w:t>
      </w:r>
      <w:r w:rsidRPr="00D86F8E">
        <w:rPr>
          <w:sz w:val="28"/>
          <w:szCs w:val="28"/>
        </w:rPr>
        <w:t>или на 7,0 %</w:t>
      </w:r>
      <w:r w:rsidRPr="00D86F8E">
        <w:rPr>
          <w:color w:val="FF0000"/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в связи с повышением оплаты труда работников органов местного самоуправления в 1,043 раза с 1 октября 2019 года и в 1,03 раза с 1 октября 2020 года, а также уменьшением среднегодовой численности населения на 0,082 тыс. </w:t>
      </w:r>
      <w:r w:rsidR="00E34439" w:rsidRPr="00D86F8E">
        <w:rPr>
          <w:sz w:val="28"/>
          <w:szCs w:val="28"/>
        </w:rPr>
        <w:t>чел</w:t>
      </w:r>
      <w:r w:rsidR="00D85A01">
        <w:rPr>
          <w:sz w:val="28"/>
          <w:szCs w:val="28"/>
        </w:rPr>
        <w:t>.</w:t>
      </w:r>
    </w:p>
    <w:p w14:paraId="20BD9A1A" w14:textId="4B3390B0" w:rsidR="008707DB" w:rsidRPr="00D86F8E" w:rsidRDefault="1D00DDFC" w:rsidP="1D00DDF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1D00DDFC">
        <w:rPr>
          <w:sz w:val="28"/>
          <w:szCs w:val="28"/>
        </w:rPr>
        <w:t xml:space="preserve">В планируемом периоде ожидается: увеличение расходов в 2021 году до 3883,1 руб. или на 0,9 %, в связи с повышением оплаты труда работников органов местного самоуправления с 1 октября 2020 года в 1,03 раза, </w:t>
      </w:r>
      <w:r w:rsidRPr="1D00DDFC">
        <w:rPr>
          <w:sz w:val="28"/>
          <w:szCs w:val="28"/>
        </w:rPr>
        <w:lastRenderedPageBreak/>
        <w:t xml:space="preserve">уменьшение  расходов в 2022 году на 4,88 руб. или на 0,12 % и 2023 году - на  4,83 рубля или на 0,12 % к предыдущему году.    </w:t>
      </w:r>
    </w:p>
    <w:p w14:paraId="0C136CF1" w14:textId="77777777" w:rsidR="008707DB" w:rsidRPr="00D86F8E" w:rsidRDefault="008707DB">
      <w:pPr>
        <w:ind w:left="-567"/>
        <w:jc w:val="both"/>
        <w:rPr>
          <w:b/>
          <w:sz w:val="28"/>
          <w:szCs w:val="28"/>
        </w:rPr>
      </w:pPr>
    </w:p>
    <w:p w14:paraId="0A392C6A" w14:textId="5A8248C3" w:rsidR="008707DB" w:rsidRPr="00D86F8E" w:rsidRDefault="00132B05">
      <w:pPr>
        <w:ind w:firstLine="567"/>
        <w:jc w:val="both"/>
        <w:rPr>
          <w:b/>
          <w:spacing w:val="-2"/>
          <w:sz w:val="28"/>
          <w:szCs w:val="28"/>
        </w:rPr>
      </w:pPr>
      <w:r w:rsidRPr="00D86F8E">
        <w:rPr>
          <w:b/>
          <w:spacing w:val="-2"/>
          <w:sz w:val="28"/>
          <w:szCs w:val="28"/>
        </w:rPr>
        <w:t>П. 36 Наличие в городском округе (муниципальном районе) утвержденного генерального плана городского округа (схемы территориального план</w:t>
      </w:r>
      <w:r w:rsidR="00D85A01">
        <w:rPr>
          <w:b/>
          <w:spacing w:val="-2"/>
          <w:sz w:val="28"/>
          <w:szCs w:val="28"/>
        </w:rPr>
        <w:t>ирования муниципального района)</w:t>
      </w:r>
    </w:p>
    <w:p w14:paraId="2D3AD7CE" w14:textId="2DAB5BBC" w:rsidR="7A78F1CD" w:rsidRPr="00D86F8E" w:rsidRDefault="7A78F1CD" w:rsidP="7A78F1CD">
      <w:pPr>
        <w:ind w:firstLine="540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Схема территориального планирования утверждена решением сессии совета депутатов МО «Усть-Коксинский район» от 12.11.2010 года</w:t>
      </w:r>
      <w:r w:rsidR="00D85A01">
        <w:rPr>
          <w:sz w:val="28"/>
          <w:szCs w:val="28"/>
        </w:rPr>
        <w:t xml:space="preserve"> </w:t>
      </w:r>
      <w:r w:rsidR="00D85A01" w:rsidRPr="00D86F8E">
        <w:rPr>
          <w:sz w:val="28"/>
          <w:szCs w:val="28"/>
        </w:rPr>
        <w:t>№</w:t>
      </w:r>
      <w:r w:rsidR="00D85A01">
        <w:rPr>
          <w:sz w:val="28"/>
          <w:szCs w:val="28"/>
        </w:rPr>
        <w:t xml:space="preserve"> </w:t>
      </w:r>
      <w:r w:rsidR="00D85A01" w:rsidRPr="00D86F8E">
        <w:rPr>
          <w:sz w:val="28"/>
          <w:szCs w:val="28"/>
        </w:rPr>
        <w:t>21-5</w:t>
      </w:r>
      <w:r w:rsidRPr="00D86F8E">
        <w:rPr>
          <w:sz w:val="28"/>
          <w:szCs w:val="28"/>
        </w:rPr>
        <w:t>. Генеральные планы всех сельских поселений утверждены в 2012 году.</w:t>
      </w:r>
    </w:p>
    <w:p w14:paraId="4853B841" w14:textId="77777777" w:rsidR="008707DB" w:rsidRPr="00D86F8E" w:rsidRDefault="008707DB">
      <w:pPr>
        <w:ind w:firstLine="567"/>
        <w:jc w:val="both"/>
        <w:rPr>
          <w:b/>
          <w:spacing w:val="-2"/>
          <w:sz w:val="28"/>
          <w:szCs w:val="28"/>
        </w:rPr>
      </w:pPr>
    </w:p>
    <w:p w14:paraId="771EF8CF" w14:textId="77777777" w:rsidR="008707DB" w:rsidRPr="00D86F8E" w:rsidRDefault="00132B05">
      <w:pPr>
        <w:ind w:firstLine="567"/>
        <w:jc w:val="both"/>
        <w:rPr>
          <w:b/>
          <w:spacing w:val="-2"/>
          <w:sz w:val="28"/>
          <w:szCs w:val="28"/>
        </w:rPr>
      </w:pPr>
      <w:r w:rsidRPr="00D86F8E">
        <w:rPr>
          <w:b/>
          <w:spacing w:val="-2"/>
          <w:sz w:val="28"/>
          <w:szCs w:val="28"/>
        </w:rPr>
        <w:t>П. 37 Удовлетворенность населения деятельностью органов местного самоуправления городского округа (муниципального района)</w:t>
      </w:r>
    </w:p>
    <w:p w14:paraId="50125231" w14:textId="77777777" w:rsidR="008707DB" w:rsidRPr="00D86F8E" w:rsidRDefault="008707DB">
      <w:pPr>
        <w:ind w:firstLine="567"/>
        <w:jc w:val="both"/>
        <w:rPr>
          <w:b/>
          <w:spacing w:val="-2"/>
          <w:sz w:val="28"/>
          <w:szCs w:val="28"/>
        </w:rPr>
      </w:pPr>
    </w:p>
    <w:p w14:paraId="5A25747A" w14:textId="77777777" w:rsidR="008707DB" w:rsidRPr="00D86F8E" w:rsidRDefault="008707DB">
      <w:pPr>
        <w:ind w:firstLine="567"/>
        <w:jc w:val="both"/>
        <w:rPr>
          <w:spacing w:val="-2"/>
          <w:sz w:val="28"/>
          <w:szCs w:val="28"/>
        </w:rPr>
      </w:pPr>
    </w:p>
    <w:p w14:paraId="09B8D95D" w14:textId="77777777" w:rsidR="008707DB" w:rsidRPr="00D86F8E" w:rsidRDefault="008707DB">
      <w:pPr>
        <w:ind w:firstLine="567"/>
        <w:jc w:val="both"/>
        <w:rPr>
          <w:spacing w:val="-2"/>
          <w:sz w:val="28"/>
          <w:szCs w:val="28"/>
        </w:rPr>
      </w:pPr>
    </w:p>
    <w:p w14:paraId="78BEFD2A" w14:textId="77777777" w:rsidR="008707DB" w:rsidRPr="00D86F8E" w:rsidRDefault="008707DB">
      <w:pPr>
        <w:ind w:firstLine="567"/>
        <w:jc w:val="both"/>
        <w:rPr>
          <w:spacing w:val="-2"/>
          <w:sz w:val="28"/>
          <w:szCs w:val="28"/>
        </w:rPr>
      </w:pPr>
    </w:p>
    <w:p w14:paraId="140397A0" w14:textId="77777777" w:rsidR="008707DB" w:rsidRPr="00D86F8E" w:rsidRDefault="00132B05">
      <w:pPr>
        <w:ind w:firstLine="567"/>
        <w:jc w:val="both"/>
        <w:rPr>
          <w:b/>
          <w:spacing w:val="-2"/>
          <w:sz w:val="28"/>
          <w:szCs w:val="28"/>
        </w:rPr>
      </w:pPr>
      <w:r w:rsidRPr="00D86F8E">
        <w:rPr>
          <w:b/>
          <w:spacing w:val="-2"/>
          <w:sz w:val="28"/>
          <w:szCs w:val="28"/>
        </w:rPr>
        <w:t>П. 38. Среднегодовая численность постоянного населения</w:t>
      </w:r>
    </w:p>
    <w:p w14:paraId="0D1218A7" w14:textId="71A77A99" w:rsidR="094BCA02" w:rsidRPr="00D86F8E" w:rsidRDefault="094BCA02" w:rsidP="094BCA02">
      <w:pPr>
        <w:ind w:firstLine="567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Среднегодовая численность постоянного населения за 2020 г. составила 16 051 чел., что ниже на 82 чел. или на 0,5 % уровня 2019 г. (за 2019 год - 16 133 чел.).  Снижение численности постоянного населения произошло из-за миграции населения. В 2020 г. прибыло 491 чел. (в 2019 г. - 687 чел.), выбыло 640 чел. (в 2019 г. - 738 чел.), таким образом миграционная убыль в 2020 г. составила </w:t>
      </w:r>
      <w:r w:rsidR="00D85A01">
        <w:rPr>
          <w:sz w:val="28"/>
          <w:szCs w:val="28"/>
        </w:rPr>
        <w:t xml:space="preserve">(-) </w:t>
      </w:r>
      <w:r w:rsidRPr="00D86F8E">
        <w:rPr>
          <w:sz w:val="28"/>
          <w:szCs w:val="28"/>
        </w:rPr>
        <w:t xml:space="preserve">149 чел., (в 2019 г. </w:t>
      </w:r>
      <w:r w:rsidR="00D85A01">
        <w:rPr>
          <w:sz w:val="28"/>
          <w:szCs w:val="28"/>
        </w:rPr>
        <w:t>–</w:t>
      </w:r>
      <w:r w:rsidRPr="00D86F8E">
        <w:rPr>
          <w:sz w:val="28"/>
          <w:szCs w:val="28"/>
        </w:rPr>
        <w:t xml:space="preserve"> </w:t>
      </w:r>
      <w:r w:rsidR="00D85A01">
        <w:rPr>
          <w:sz w:val="28"/>
          <w:szCs w:val="28"/>
        </w:rPr>
        <w:t xml:space="preserve">(-) </w:t>
      </w:r>
      <w:r w:rsidRPr="00D86F8E">
        <w:rPr>
          <w:sz w:val="28"/>
          <w:szCs w:val="28"/>
        </w:rPr>
        <w:t xml:space="preserve">51 чел.) Одной из основных причин миграционного оттока является безработица и низкий уровень оплаты труда. </w:t>
      </w:r>
    </w:p>
    <w:p w14:paraId="7E42D97F" w14:textId="32077984" w:rsidR="094BCA02" w:rsidRPr="00D86F8E" w:rsidRDefault="094BCA02" w:rsidP="094BCA02">
      <w:pPr>
        <w:ind w:firstLine="567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2020 г. родилось 234 </w:t>
      </w:r>
      <w:r w:rsidR="00D85A01">
        <w:rPr>
          <w:sz w:val="28"/>
          <w:szCs w:val="28"/>
        </w:rPr>
        <w:t>ребенка</w:t>
      </w:r>
      <w:r w:rsidRPr="00D86F8E">
        <w:rPr>
          <w:sz w:val="28"/>
          <w:szCs w:val="28"/>
        </w:rPr>
        <w:t xml:space="preserve">, что больше на 4 ребенка или на 1,7 %, чем в 2019 г. (в 2019 г. - 230 детей), умерло в 2020 г. 220 чел., что больше 2019 г. на 15 чел. или на 7,3 % (в 2019 г. - 205 чел.). Общий коэффициент естественного прироста населения в 2020 г. составил 0,8 чел. на 1000 населения, (в 2019 г. - 1,5 чел. на 1000 населения). </w:t>
      </w:r>
    </w:p>
    <w:p w14:paraId="28A518B4" w14:textId="794D9A32" w:rsidR="094BCA02" w:rsidRPr="00D86F8E" w:rsidRDefault="094BCA02" w:rsidP="094BCA02">
      <w:pPr>
        <w:ind w:firstLine="567"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прогнозном периоде ожидается рост среднегодовой численности постоянного населения за счет повышения рождаемости. </w:t>
      </w:r>
    </w:p>
    <w:p w14:paraId="71887C79" w14:textId="77777777" w:rsidR="008707DB" w:rsidRPr="00D86F8E" w:rsidRDefault="008707DB">
      <w:pPr>
        <w:ind w:firstLine="567"/>
        <w:jc w:val="both"/>
        <w:rPr>
          <w:bCs/>
          <w:spacing w:val="-2"/>
          <w:sz w:val="28"/>
          <w:szCs w:val="28"/>
        </w:rPr>
      </w:pPr>
    </w:p>
    <w:p w14:paraId="5979DC12" w14:textId="77777777" w:rsidR="008707DB" w:rsidRPr="00D86F8E" w:rsidRDefault="00132B05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8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86F8E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14:paraId="3B7FD67C" w14:textId="77777777" w:rsidR="008707DB" w:rsidRPr="00D86F8E" w:rsidRDefault="008707DB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1EC64B4B" w14:textId="5DDA410D" w:rsidR="008707DB" w:rsidRPr="00D86F8E" w:rsidRDefault="00132B05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8E">
        <w:rPr>
          <w:rFonts w:ascii="Times New Roman" w:hAnsi="Times New Roman" w:cs="Times New Roman"/>
          <w:b/>
          <w:sz w:val="28"/>
          <w:szCs w:val="28"/>
        </w:rPr>
        <w:t xml:space="preserve">П. 39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</w:t>
      </w:r>
      <w:r w:rsidR="00E34439" w:rsidRPr="00D86F8E">
        <w:rPr>
          <w:rFonts w:ascii="Times New Roman" w:hAnsi="Times New Roman" w:cs="Times New Roman"/>
          <w:b/>
          <w:sz w:val="28"/>
          <w:szCs w:val="28"/>
        </w:rPr>
        <w:t>чел.</w:t>
      </w:r>
      <w:r w:rsidR="00D85A01">
        <w:rPr>
          <w:rFonts w:ascii="Times New Roman" w:hAnsi="Times New Roman" w:cs="Times New Roman"/>
          <w:b/>
          <w:sz w:val="28"/>
          <w:szCs w:val="28"/>
        </w:rPr>
        <w:t>)</w:t>
      </w:r>
    </w:p>
    <w:p w14:paraId="3B2D06B1" w14:textId="63F9358C" w:rsidR="008707DB" w:rsidRPr="00D86F8E" w:rsidRDefault="2CFED611" w:rsidP="2CFED611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2020 г. удельная величина потребления энергетических ресурсов в многоквартирных домах составила:</w:t>
      </w:r>
    </w:p>
    <w:p w14:paraId="3109258F" w14:textId="18FE7315" w:rsidR="008707DB" w:rsidRPr="00D86F8E" w:rsidRDefault="2CFED611" w:rsidP="2CFED611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электроэнергия: 943,126 кВт/ч на 1 проживающего, снижение к 2019 году на 43,441 кВт/ч в год (3,5 кВт/ч в месяц). Планируется и дальнейшее снижение потребления электрической энергии, в связи с внедрением энергосберегающих технологий;</w:t>
      </w:r>
    </w:p>
    <w:p w14:paraId="608CFD51" w14:textId="74919A8F" w:rsidR="008707DB" w:rsidRPr="00D86F8E" w:rsidRDefault="2CFED611" w:rsidP="2CFED611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lastRenderedPageBreak/>
        <w:t>тепловая энергия: 0,300 Гкал на 1 м² общей площади, показатель снизился на 0,003 Гкал. Планируется и дальнейшее снижение потребления тепловой энергии, в связи с внедрением энергосберегающих технологий;</w:t>
      </w:r>
    </w:p>
    <w:p w14:paraId="61AC67E7" w14:textId="10E3470E" w:rsidR="008707DB" w:rsidRPr="00D86F8E" w:rsidRDefault="2CFED611" w:rsidP="2CFED611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холодная вода: 16,137 м³ на 1 проживающего, по сравнению с 2019 годом снижение на 8,863 м³. </w:t>
      </w:r>
      <w:r w:rsidRPr="00D85A01">
        <w:rPr>
          <w:sz w:val="28"/>
          <w:szCs w:val="28"/>
        </w:rPr>
        <w:t>Планируется и дальнейшее снижение потребления воды, в связи с внедрением энергосберегающих технологий</w:t>
      </w:r>
      <w:r w:rsidRPr="00D86F8E">
        <w:rPr>
          <w:sz w:val="28"/>
          <w:szCs w:val="28"/>
        </w:rPr>
        <w:t xml:space="preserve">. </w:t>
      </w:r>
    </w:p>
    <w:p w14:paraId="698536F5" w14:textId="31AC2F8E" w:rsidR="008707DB" w:rsidRPr="00D86F8E" w:rsidRDefault="2CFED611" w:rsidP="2CFED611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Горячей воды и газа нет. На планируемый период до 2023 года изменений не планируется, так как невозможно предоставление данных услуг.</w:t>
      </w:r>
    </w:p>
    <w:p w14:paraId="7BC1BAF2" w14:textId="77777777" w:rsidR="008707DB" w:rsidRPr="00D86F8E" w:rsidRDefault="008707DB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4600F" w14:textId="77777777" w:rsidR="008707DB" w:rsidRPr="00D86F8E" w:rsidRDefault="00132B05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86F8E">
        <w:rPr>
          <w:rFonts w:ascii="Times New Roman" w:hAnsi="Times New Roman" w:cs="Times New Roman"/>
          <w:b/>
          <w:sz w:val="28"/>
          <w:szCs w:val="28"/>
        </w:rPr>
        <w:t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14:paraId="63FAA63D" w14:textId="1738A67F" w:rsidR="2CFED611" w:rsidRPr="00D86F8E" w:rsidRDefault="2CFED611" w:rsidP="2CFED611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2020 году удельная величина потребления энергетических ресурсов в бюджетной сфере составила:</w:t>
      </w:r>
    </w:p>
    <w:p w14:paraId="06666CD6" w14:textId="7A299529" w:rsidR="2CFED611" w:rsidRPr="00D86F8E" w:rsidRDefault="2CFED611" w:rsidP="2CFED611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электроэнергия: 108,637 кВт/ч на 1 чел., снижение на 28,22 кВт/ч на 1 чел. Планируется и дальнейшее снижение потребления электрической энергии, в связи с внедрением энергосберегающих технологий;</w:t>
      </w:r>
    </w:p>
    <w:p w14:paraId="1EDEA40D" w14:textId="284C4520" w:rsidR="2CFED611" w:rsidRPr="00D86F8E" w:rsidRDefault="2CFED611" w:rsidP="2CFED611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тепловая энергия: 0,335 Гкал на 1 м² общей площади, снижение на 0,067 Гкал. Планируется и дальнейшее снижение потребления тепловой энергии, в связи с внедрением энергосберегающих технологий;</w:t>
      </w:r>
    </w:p>
    <w:p w14:paraId="32700769" w14:textId="1104A097" w:rsidR="2CFED611" w:rsidRPr="00D86F8E" w:rsidRDefault="2CFED611" w:rsidP="2CFED611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8E">
        <w:rPr>
          <w:rFonts w:ascii="Times New Roman" w:hAnsi="Times New Roman" w:cs="Times New Roman"/>
          <w:sz w:val="28"/>
          <w:szCs w:val="28"/>
        </w:rPr>
        <w:t>холодная вода: 1,074 м³ на 1 чел., по сравнению с 2019 годом снижение на 0,13 м³ на 1 чел. Планируется и дальнейшее снижение потребления воды, в связи с внедрением энергосберегающих технологий.</w:t>
      </w:r>
    </w:p>
    <w:p w14:paraId="6C188C32" w14:textId="3D3B3E3B" w:rsidR="2CFED611" w:rsidRPr="00D86F8E" w:rsidRDefault="2CFED611" w:rsidP="2CFED611">
      <w:pPr>
        <w:spacing w:line="276" w:lineRule="auto"/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Горячей воды и газа нет. На планируемый период до 2023 года изменений не планируется, так как невозможно предоставление данных услуг.</w:t>
      </w:r>
    </w:p>
    <w:p w14:paraId="5C3E0E74" w14:textId="77777777" w:rsidR="008707DB" w:rsidRPr="00D86F8E" w:rsidRDefault="008707DB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9A9E6" w14:textId="5A3FEF46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b/>
          <w:bCs/>
          <w:sz w:val="28"/>
          <w:szCs w:val="28"/>
        </w:rPr>
        <w:t>П.41 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  <w:r w:rsidRPr="00D86F8E">
        <w:rPr>
          <w:sz w:val="28"/>
          <w:szCs w:val="28"/>
        </w:rPr>
        <w:t xml:space="preserve"> </w:t>
      </w:r>
    </w:p>
    <w:p w14:paraId="6EEE6A7C" w14:textId="53B75DF1" w:rsidR="008707DB" w:rsidRPr="00D86F8E" w:rsidRDefault="1D00DDFC" w:rsidP="1D00DDFC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1D00DDFC">
        <w:rPr>
          <w:sz w:val="28"/>
          <w:szCs w:val="28"/>
        </w:rPr>
        <w:t>В 2020 г.</w:t>
      </w:r>
      <w:r w:rsidRPr="1D00DDFC">
        <w:rPr>
          <w:b/>
          <w:bCs/>
          <w:sz w:val="28"/>
          <w:szCs w:val="28"/>
        </w:rPr>
        <w:t xml:space="preserve"> </w:t>
      </w:r>
      <w:r w:rsidRPr="1D00DDFC">
        <w:rPr>
          <w:sz w:val="28"/>
          <w:szCs w:val="28"/>
        </w:rPr>
        <w:t xml:space="preserve">среди организаций культуры охвачено в отчетном периоде независимой оценкой качества 2 учреждения: МУАМО «Дом творчества и досуга» и МУАМО «Межпоселенческая централизованная библиотечная </w:t>
      </w:r>
      <w:r w:rsidRPr="1D00DDFC">
        <w:rPr>
          <w:sz w:val="28"/>
          <w:szCs w:val="28"/>
        </w:rPr>
        <w:lastRenderedPageBreak/>
        <w:t xml:space="preserve">система», охват учреждений культуры независимой оценкой составил 66,7 %. Средний балл по результатам проведенной оценки составил 84,4 баллов.  </w:t>
      </w:r>
    </w:p>
    <w:p w14:paraId="058C806E" w14:textId="56A80029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5A01">
        <w:rPr>
          <w:sz w:val="28"/>
          <w:szCs w:val="28"/>
        </w:rPr>
        <w:t xml:space="preserve">МУ АМО </w:t>
      </w:r>
      <w:r w:rsidR="00132B05" w:rsidRPr="00D85A01">
        <w:rPr>
          <w:sz w:val="28"/>
          <w:szCs w:val="28"/>
        </w:rPr>
        <w:t>«</w:t>
      </w:r>
      <w:r w:rsidRPr="00D85A01">
        <w:rPr>
          <w:sz w:val="28"/>
          <w:szCs w:val="28"/>
        </w:rPr>
        <w:t>Дом творчества и досуга</w:t>
      </w:r>
      <w:r w:rsidR="00132B05" w:rsidRPr="00D85A01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по результатам проведенной оценки получило 82,4 балла. </w:t>
      </w:r>
    </w:p>
    <w:p w14:paraId="541B28A1" w14:textId="42E19504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качестве выводов по критериям выделены следующие позиции:</w:t>
      </w:r>
    </w:p>
    <w:p w14:paraId="7D778FEB" w14:textId="40C04DB3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Результаты анализа показателей, характеризующих общий критерий оценки открытости и доступности информации об организации (68,1%). С учетом вышеизложенного рекомендуем руководителю организации, продолжить пополнение информации на сайте учреждения, способствовать привлечению активных пользователей, повышению информационной доступности организации для получателей услуг.</w:t>
      </w:r>
    </w:p>
    <w:p w14:paraId="428CB592" w14:textId="4EA68946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Оценивая комфортность условий, в которых предоставляются услуги, 92,7% 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«Доступность услуг для инвалидов» оценка составила 55,2%, необходимо обеспечить повышение указанного показателя. Актуализировать паспорт доступности, предусмотреть соответствующие мероприятия по обеспечению доступной среды в плане развития учреждения.  </w:t>
      </w:r>
    </w:p>
    <w:p w14:paraId="294EA5DD" w14:textId="4893B2E4" w:rsidR="008707DB" w:rsidRPr="00D86F8E" w:rsidRDefault="4BC497F4" w:rsidP="4BC497F4">
      <w:pPr>
        <w:autoSpaceDE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По мнению 98,5% получателей услуг, в учреждении работают доброжелательные, вежливые и компетентные сотрудники, общая удовлетворенность условиями оказания услуг организацией составляет 97,5%.</w:t>
      </w:r>
    </w:p>
    <w:p w14:paraId="67B7AD33" w14:textId="53AE4F59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МУАМО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Межпоселенческая централизованная библиотечная система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 xml:space="preserve"> по результатам проведенной оценки получило 86,4 балла.</w:t>
      </w:r>
    </w:p>
    <w:p w14:paraId="0A977647" w14:textId="642D3966" w:rsidR="008707DB" w:rsidRPr="00D86F8E" w:rsidRDefault="4BC497F4" w:rsidP="4BC497F4">
      <w:pPr>
        <w:autoSpaceDE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качестве выводов по критериям можно выделить следующие позиции:</w:t>
      </w:r>
    </w:p>
    <w:p w14:paraId="1C639618" w14:textId="55BAD2AA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Результаты анализа показателей, характеризующих общий критерий оценки открытости и доступности информации об организации (81,8%). С учетом вышеизложенного рекомендуем руководителю организации, продолжить пополнение информации на сайте учреждения, способствовать привлечению активных пользователей, повышению информационной доступности организации для получателей услуг.</w:t>
      </w:r>
    </w:p>
    <w:p w14:paraId="56574ABF" w14:textId="678CEAB5" w:rsidR="008707DB" w:rsidRPr="00D86F8E" w:rsidRDefault="4BC497F4" w:rsidP="4BC497F4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Оценивая комфортность условий, в которых предоставляются услуги, 97,5% 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«Доступность услуг для инвалидов» оценка составила 54,4%, необходимо обеспечить повышение указанного показателя. Актуализировать паспорт </w:t>
      </w:r>
      <w:r w:rsidRPr="00D86F8E">
        <w:rPr>
          <w:sz w:val="28"/>
          <w:szCs w:val="28"/>
        </w:rPr>
        <w:lastRenderedPageBreak/>
        <w:t xml:space="preserve">доступности, предусмотреть соответствующие мероприятия по обеспечению доступной среды в плане развития учреждения.  </w:t>
      </w:r>
    </w:p>
    <w:p w14:paraId="6E666C6C" w14:textId="78D0CF69" w:rsidR="008707DB" w:rsidRPr="00D86F8E" w:rsidRDefault="4BC497F4" w:rsidP="4BC497F4">
      <w:pPr>
        <w:autoSpaceDE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По мнению 98,4% получателей услуг, в учреждении работают доброжелательные, вежливые и компетентные сотрудники, общая удовлетворенность условиями оказания услуг организацией составляет 100%.</w:t>
      </w:r>
    </w:p>
    <w:p w14:paraId="0B33D435" w14:textId="13FD0B33" w:rsidR="008707DB" w:rsidRPr="00D86F8E" w:rsidRDefault="4BC497F4" w:rsidP="4BC497F4">
      <w:pPr>
        <w:autoSpaceDE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Таким образом, при выявленном уровне удовлетворенности получателей услуг, руководителям организации необходимо:</w:t>
      </w:r>
    </w:p>
    <w:p w14:paraId="2C96E878" w14:textId="64DBD670" w:rsidR="008707DB" w:rsidRPr="00D86F8E" w:rsidRDefault="4BC497F4" w:rsidP="4BC497F4">
      <w:pPr>
        <w:autoSpaceDE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Продолжить информационно - разъяснительную работу по всем вопросам, касающимся деятельности организации;</w:t>
      </w:r>
    </w:p>
    <w:p w14:paraId="36D8D8D7" w14:textId="3337561F" w:rsidR="008707DB" w:rsidRPr="00D86F8E" w:rsidRDefault="4BC497F4" w:rsidP="4BC497F4">
      <w:pPr>
        <w:autoSpaceDE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Продолжить информирование получателей услуг о состоянии и развитии материально - технической базы организации, дополнительных услугах и сервисах.</w:t>
      </w:r>
    </w:p>
    <w:p w14:paraId="68BF937D" w14:textId="046CF0F3" w:rsidR="008707DB" w:rsidRPr="00D86F8E" w:rsidRDefault="7A78F1CD" w:rsidP="00E072C4">
      <w:pPr>
        <w:autoSpaceDE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072C4">
        <w:rPr>
          <w:sz w:val="28"/>
          <w:szCs w:val="28"/>
        </w:rPr>
        <w:t>Образовательные организации, в отношении которых проводилась НОКО в 2020</w:t>
      </w:r>
      <w:r w:rsidR="00E072C4">
        <w:rPr>
          <w:sz w:val="28"/>
          <w:szCs w:val="28"/>
        </w:rPr>
        <w:t xml:space="preserve"> </w:t>
      </w:r>
      <w:r w:rsidRPr="00E072C4">
        <w:rPr>
          <w:sz w:val="28"/>
          <w:szCs w:val="28"/>
        </w:rPr>
        <w:t>году, были определены общественным советом по проведению НОКО, созданным при администрации.</w:t>
      </w:r>
    </w:p>
    <w:p w14:paraId="0421A741" w14:textId="63631926" w:rsidR="008707DB" w:rsidRPr="00D86F8E" w:rsidRDefault="1D00DDFC" w:rsidP="1D00DDFC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1D00DDFC">
        <w:rPr>
          <w:sz w:val="28"/>
          <w:szCs w:val="28"/>
        </w:rPr>
        <w:t>Независимую оценку в 2020 г. проходили 12 учреждений (5 ОШ, 2 – НОШ, 5 дошкольных организаций) это МБОУ «Теректинская СОШ» и её филиал, «Тюгурюкская ООШ» с филиалом, «Горбуновская ООШ» с филиалом, «Кастахтинская ООШ» с филиалом, «Тюнгурская ООШ» с филиалами. Всего в опросе участвовало 177 респондентов (40% от количества обучающихся и воспитанников данных ОО). Средний балл по результатам проведенной оценки составил 87,84 баллов.</w:t>
      </w:r>
    </w:p>
    <w:p w14:paraId="1E5803A5" w14:textId="30DFDDA7" w:rsidR="008707DB" w:rsidRPr="00D86F8E" w:rsidRDefault="1D00DDFC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1D00DDFC">
        <w:rPr>
          <w:sz w:val="28"/>
          <w:szCs w:val="28"/>
        </w:rPr>
        <w:t xml:space="preserve">Все собранные анкеты были обработаны Оператором ООО «Сервис», группа специалистов составили для каждой организации Аналитический отчет </w:t>
      </w:r>
    </w:p>
    <w:p w14:paraId="69B5BA7B" w14:textId="5D555CB8" w:rsidR="008707DB" w:rsidRPr="00D86F8E" w:rsidRDefault="7A78F1CD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072C4">
        <w:rPr>
          <w:sz w:val="28"/>
          <w:szCs w:val="28"/>
        </w:rPr>
        <w:t>Результаты НОКО в 2020 году рассмотрены на заседаниях Общественных советов и размещены на сайте bus.gov.ru.</w:t>
      </w:r>
    </w:p>
    <w:p w14:paraId="1FAFF91D" w14:textId="26D045EA" w:rsidR="008707DB" w:rsidRPr="00D86F8E" w:rsidRDefault="7A78F1CD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072C4">
        <w:rPr>
          <w:sz w:val="28"/>
          <w:szCs w:val="28"/>
        </w:rPr>
        <w:t>Распределение оценок НОКО в 2020 году:</w:t>
      </w:r>
    </w:p>
    <w:p w14:paraId="1F9097DE" w14:textId="30D49419" w:rsidR="008707DB" w:rsidRPr="00D86F8E" w:rsidRDefault="7A78F1CD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МБОУ «Тюнгурская ООШ» </w:t>
      </w:r>
      <w:r w:rsidR="00E072C4">
        <w:rPr>
          <w:sz w:val="28"/>
          <w:szCs w:val="28"/>
        </w:rPr>
        <w:t xml:space="preserve">- </w:t>
      </w:r>
      <w:r w:rsidRPr="00D86F8E">
        <w:rPr>
          <w:sz w:val="28"/>
          <w:szCs w:val="28"/>
        </w:rPr>
        <w:t>91,1 балла;</w:t>
      </w:r>
    </w:p>
    <w:p w14:paraId="76C6EE27" w14:textId="16700F66" w:rsidR="008707DB" w:rsidRPr="00D86F8E" w:rsidRDefault="7A78F1CD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МБОУ «Теректинская СОШ» </w:t>
      </w:r>
      <w:r w:rsidR="00E072C4">
        <w:rPr>
          <w:sz w:val="28"/>
          <w:szCs w:val="28"/>
        </w:rPr>
        <w:t xml:space="preserve">- </w:t>
      </w:r>
      <w:r w:rsidRPr="00D86F8E">
        <w:rPr>
          <w:sz w:val="28"/>
          <w:szCs w:val="28"/>
        </w:rPr>
        <w:t>90,4 балла;</w:t>
      </w:r>
    </w:p>
    <w:p w14:paraId="46B2F01B" w14:textId="26BF7AB3" w:rsidR="008707DB" w:rsidRPr="00D86F8E" w:rsidRDefault="7A78F1CD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МБОУ «Кастахтинская ООШ» </w:t>
      </w:r>
      <w:r w:rsidR="00E072C4">
        <w:rPr>
          <w:sz w:val="28"/>
          <w:szCs w:val="28"/>
        </w:rPr>
        <w:t xml:space="preserve">- </w:t>
      </w:r>
      <w:r w:rsidRPr="00D86F8E">
        <w:rPr>
          <w:sz w:val="28"/>
          <w:szCs w:val="28"/>
        </w:rPr>
        <w:t>86,9 балла;</w:t>
      </w:r>
    </w:p>
    <w:p w14:paraId="36A444B3" w14:textId="1AD2ED09" w:rsidR="008707DB" w:rsidRPr="00D86F8E" w:rsidRDefault="7A78F1CD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МБОУ «Тюгурюкская ООШ </w:t>
      </w:r>
      <w:r w:rsidR="00E072C4">
        <w:rPr>
          <w:sz w:val="28"/>
          <w:szCs w:val="28"/>
        </w:rPr>
        <w:t>-</w:t>
      </w:r>
      <w:r w:rsidRPr="00D86F8E">
        <w:rPr>
          <w:sz w:val="28"/>
          <w:szCs w:val="28"/>
        </w:rPr>
        <w:t xml:space="preserve"> 85,4 балла;</w:t>
      </w:r>
    </w:p>
    <w:p w14:paraId="791D3A09" w14:textId="23D41D34" w:rsidR="008707DB" w:rsidRPr="00D86F8E" w:rsidRDefault="2CFED611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МБОУ «Горбуновская ООШ»</w:t>
      </w:r>
      <w:r w:rsidR="00E072C4">
        <w:rPr>
          <w:sz w:val="28"/>
          <w:szCs w:val="28"/>
        </w:rPr>
        <w:t xml:space="preserve"> -</w:t>
      </w:r>
      <w:r w:rsidRPr="00D86F8E">
        <w:rPr>
          <w:sz w:val="28"/>
          <w:szCs w:val="28"/>
        </w:rPr>
        <w:t xml:space="preserve"> 85,4 балла.</w:t>
      </w:r>
    </w:p>
    <w:p w14:paraId="12C73CEB" w14:textId="2E6F836E" w:rsidR="2CFED611" w:rsidRPr="00D86F8E" w:rsidRDefault="36C3622D" w:rsidP="00E072C4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целом можно сделать вывод, что в образовательных организациях средний результат составил 87,8 балла из-за того, что отсутствует доступность услуг для инвалидов и открытость и доступность информации об организации. Образовательными организациями разработаны Планы по устранению недостатков, выявленных в ходе независимой оценки качества </w:t>
      </w:r>
      <w:r w:rsidRPr="00D86F8E">
        <w:rPr>
          <w:sz w:val="28"/>
          <w:szCs w:val="28"/>
        </w:rPr>
        <w:lastRenderedPageBreak/>
        <w:t xml:space="preserve">условий осуществления образовательной деятельности, утверждены Распоряжением Администрации МО </w:t>
      </w:r>
      <w:r w:rsidR="00132B05" w:rsidRPr="00D86F8E">
        <w:rPr>
          <w:sz w:val="28"/>
          <w:szCs w:val="28"/>
        </w:rPr>
        <w:t>«</w:t>
      </w:r>
      <w:r w:rsidRPr="00D86F8E">
        <w:rPr>
          <w:sz w:val="28"/>
          <w:szCs w:val="28"/>
        </w:rPr>
        <w:t>Усть-Коксинский район</w:t>
      </w:r>
      <w:r w:rsidR="00132B05" w:rsidRPr="00D86F8E">
        <w:rPr>
          <w:sz w:val="28"/>
          <w:szCs w:val="28"/>
        </w:rPr>
        <w:t>»</w:t>
      </w:r>
      <w:r w:rsidRPr="00D86F8E">
        <w:rPr>
          <w:sz w:val="28"/>
          <w:szCs w:val="28"/>
        </w:rPr>
        <w:t>.</w:t>
      </w:r>
    </w:p>
    <w:p w14:paraId="7F0DDBEC" w14:textId="2352EB8D" w:rsidR="008707DB" w:rsidRPr="00D86F8E" w:rsidRDefault="2CFED611" w:rsidP="7A78F1CD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2021 году НОКО будут проходить 10 организаций (8 ОО+2 ДУ) +14 филиалов, которые проходили НОКО в 2018 году. Планируется получить средний результат 89,9 балла в связи с тем, что в данных школах проведены ремонты, обеспечены оборудованием.</w:t>
      </w:r>
    </w:p>
    <w:p w14:paraId="1724318F" w14:textId="1075AEBF" w:rsidR="09BBC338" w:rsidRPr="00D86F8E" w:rsidRDefault="2CFED611" w:rsidP="00E072C4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В 2022 году планируется пройти НОКО 17 образовательным организациям, из них: 4 основного образования и 3 среднего образования+10 филиалов. Планируется получить результаты 90 баллов по окончании НОКО. </w:t>
      </w:r>
    </w:p>
    <w:p w14:paraId="38903F02" w14:textId="6FAEBCCB" w:rsidR="2CFED611" w:rsidRPr="00D86F8E" w:rsidRDefault="2CFED611" w:rsidP="00E072C4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В 2023 году планируется пройти НОКО 10 образовательным организациям (4 ОО+1 СО)</w:t>
      </w:r>
      <w:r w:rsidR="00E072C4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+ 5 </w:t>
      </w:r>
      <w:r w:rsidR="00E072C4">
        <w:rPr>
          <w:sz w:val="28"/>
          <w:szCs w:val="28"/>
        </w:rPr>
        <w:t>д</w:t>
      </w:r>
      <w:r w:rsidRPr="00D86F8E">
        <w:rPr>
          <w:sz w:val="28"/>
          <w:szCs w:val="28"/>
        </w:rPr>
        <w:t>ошкольного образования. По результатам НОКО планируется получить 91 балл, так как эти школы в 2020 году прошли оценку на 89,9 балло</w:t>
      </w:r>
      <w:r w:rsidR="00E072C4">
        <w:rPr>
          <w:sz w:val="28"/>
          <w:szCs w:val="28"/>
        </w:rPr>
        <w:t>в</w:t>
      </w:r>
      <w:r w:rsidRPr="00D86F8E">
        <w:rPr>
          <w:sz w:val="28"/>
          <w:szCs w:val="28"/>
        </w:rPr>
        <w:t xml:space="preserve">. </w:t>
      </w:r>
    </w:p>
    <w:p w14:paraId="77B09C93" w14:textId="77777777" w:rsidR="00E072C4" w:rsidRPr="00D86F8E" w:rsidRDefault="00E072C4" w:rsidP="00E072C4">
      <w:pPr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86F8E">
        <w:rPr>
          <w:sz w:val="28"/>
          <w:szCs w:val="28"/>
        </w:rPr>
        <w:t xml:space="preserve">Муниципальных организаций социального обслуживания не имеется. </w:t>
      </w:r>
    </w:p>
    <w:p w14:paraId="10A2968E" w14:textId="3AF42EA9" w:rsidR="008707DB" w:rsidRPr="00D86F8E" w:rsidRDefault="008707DB" w:rsidP="4BC497F4">
      <w:pPr>
        <w:pStyle w:val="11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07DB" w:rsidRPr="00D86F8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463"/>
    <w:multiLevelType w:val="hybridMultilevel"/>
    <w:tmpl w:val="F5A0C350"/>
    <w:lvl w:ilvl="0" w:tplc="809C7B70">
      <w:start w:val="1"/>
      <w:numFmt w:val="decimal"/>
      <w:lvlText w:val="%1."/>
      <w:lvlJc w:val="left"/>
      <w:pPr>
        <w:ind w:left="720" w:hanging="360"/>
      </w:pPr>
    </w:lvl>
    <w:lvl w:ilvl="1" w:tplc="E9E0EDDA">
      <w:start w:val="1"/>
      <w:numFmt w:val="lowerLetter"/>
      <w:lvlText w:val="%2."/>
      <w:lvlJc w:val="left"/>
      <w:pPr>
        <w:ind w:left="1440" w:hanging="360"/>
      </w:pPr>
    </w:lvl>
    <w:lvl w:ilvl="2" w:tplc="4C92F894">
      <w:start w:val="1"/>
      <w:numFmt w:val="lowerRoman"/>
      <w:lvlText w:val="%3."/>
      <w:lvlJc w:val="right"/>
      <w:pPr>
        <w:ind w:left="2160" w:hanging="180"/>
      </w:pPr>
    </w:lvl>
    <w:lvl w:ilvl="3" w:tplc="CFD23414">
      <w:start w:val="1"/>
      <w:numFmt w:val="decimal"/>
      <w:lvlText w:val="%4."/>
      <w:lvlJc w:val="left"/>
      <w:pPr>
        <w:ind w:left="2880" w:hanging="360"/>
      </w:pPr>
    </w:lvl>
    <w:lvl w:ilvl="4" w:tplc="593E0E82">
      <w:start w:val="1"/>
      <w:numFmt w:val="lowerLetter"/>
      <w:lvlText w:val="%5."/>
      <w:lvlJc w:val="left"/>
      <w:pPr>
        <w:ind w:left="3600" w:hanging="360"/>
      </w:pPr>
    </w:lvl>
    <w:lvl w:ilvl="5" w:tplc="FE98C1B8">
      <w:start w:val="1"/>
      <w:numFmt w:val="lowerRoman"/>
      <w:lvlText w:val="%6."/>
      <w:lvlJc w:val="right"/>
      <w:pPr>
        <w:ind w:left="4320" w:hanging="180"/>
      </w:pPr>
    </w:lvl>
    <w:lvl w:ilvl="6" w:tplc="2F183564">
      <w:start w:val="1"/>
      <w:numFmt w:val="decimal"/>
      <w:lvlText w:val="%7."/>
      <w:lvlJc w:val="left"/>
      <w:pPr>
        <w:ind w:left="5040" w:hanging="360"/>
      </w:pPr>
    </w:lvl>
    <w:lvl w:ilvl="7" w:tplc="AC18BD36">
      <w:start w:val="1"/>
      <w:numFmt w:val="lowerLetter"/>
      <w:lvlText w:val="%8."/>
      <w:lvlJc w:val="left"/>
      <w:pPr>
        <w:ind w:left="5760" w:hanging="360"/>
      </w:pPr>
    </w:lvl>
    <w:lvl w:ilvl="8" w:tplc="74F41A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2D37"/>
    <w:multiLevelType w:val="hybridMultilevel"/>
    <w:tmpl w:val="A5F07A74"/>
    <w:lvl w:ilvl="0" w:tplc="59405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AAD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4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6B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83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61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1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4A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5C95"/>
    <w:multiLevelType w:val="hybridMultilevel"/>
    <w:tmpl w:val="23EEE01C"/>
    <w:lvl w:ilvl="0" w:tplc="A84263F0">
      <w:start w:val="5"/>
      <w:numFmt w:val="upperRoman"/>
      <w:lvlText w:val="%1."/>
      <w:lvlJc w:val="left"/>
      <w:pPr>
        <w:ind w:left="1287" w:hanging="720"/>
      </w:pPr>
    </w:lvl>
    <w:lvl w:ilvl="1" w:tplc="7CFA2A40">
      <w:numFmt w:val="decimal"/>
      <w:lvlText w:val=""/>
      <w:lvlJc w:val="left"/>
    </w:lvl>
    <w:lvl w:ilvl="2" w:tplc="1DE67000">
      <w:numFmt w:val="decimal"/>
      <w:lvlText w:val=""/>
      <w:lvlJc w:val="left"/>
    </w:lvl>
    <w:lvl w:ilvl="3" w:tplc="2ABA923C">
      <w:numFmt w:val="decimal"/>
      <w:lvlText w:val=""/>
      <w:lvlJc w:val="left"/>
    </w:lvl>
    <w:lvl w:ilvl="4" w:tplc="9FE6EB30">
      <w:numFmt w:val="decimal"/>
      <w:lvlText w:val=""/>
      <w:lvlJc w:val="left"/>
    </w:lvl>
    <w:lvl w:ilvl="5" w:tplc="542A4BA8">
      <w:numFmt w:val="decimal"/>
      <w:lvlText w:val=""/>
      <w:lvlJc w:val="left"/>
    </w:lvl>
    <w:lvl w:ilvl="6" w:tplc="E092D360">
      <w:numFmt w:val="decimal"/>
      <w:lvlText w:val=""/>
      <w:lvlJc w:val="left"/>
    </w:lvl>
    <w:lvl w:ilvl="7" w:tplc="B3B0F5FA">
      <w:numFmt w:val="decimal"/>
      <w:lvlText w:val=""/>
      <w:lvlJc w:val="left"/>
    </w:lvl>
    <w:lvl w:ilvl="8" w:tplc="2C2850A8">
      <w:numFmt w:val="decimal"/>
      <w:lvlText w:val=""/>
      <w:lvlJc w:val="left"/>
    </w:lvl>
  </w:abstractNum>
  <w:abstractNum w:abstractNumId="3">
    <w:nsid w:val="6D120FD6"/>
    <w:multiLevelType w:val="multilevel"/>
    <w:tmpl w:val="8AD80DB0"/>
    <w:lvl w:ilvl="0">
      <w:start w:val="1"/>
      <w:numFmt w:val="upperRoman"/>
      <w:lvlText w:val="%1."/>
      <w:lvlJc w:val="left"/>
      <w:pPr>
        <w:ind w:left="1287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77C3F"/>
    <w:multiLevelType w:val="multilevel"/>
    <w:tmpl w:val="8FBEEDA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5EA2C"/>
    <w:rsid w:val="000542FF"/>
    <w:rsid w:val="00132B05"/>
    <w:rsid w:val="001F6397"/>
    <w:rsid w:val="005F7CD6"/>
    <w:rsid w:val="00711C9F"/>
    <w:rsid w:val="008707DB"/>
    <w:rsid w:val="00A13788"/>
    <w:rsid w:val="00AD1863"/>
    <w:rsid w:val="00CF6614"/>
    <w:rsid w:val="00D85A01"/>
    <w:rsid w:val="00D86F8E"/>
    <w:rsid w:val="00E072C4"/>
    <w:rsid w:val="00E34439"/>
    <w:rsid w:val="00EC6B72"/>
    <w:rsid w:val="00F433F0"/>
    <w:rsid w:val="00FB5669"/>
    <w:rsid w:val="03A7882B"/>
    <w:rsid w:val="03AAD4C1"/>
    <w:rsid w:val="094BCA02"/>
    <w:rsid w:val="0954AD27"/>
    <w:rsid w:val="09BBC338"/>
    <w:rsid w:val="0F186CF6"/>
    <w:rsid w:val="164C0EB3"/>
    <w:rsid w:val="178B5035"/>
    <w:rsid w:val="1D00DDFC"/>
    <w:rsid w:val="1D2B03B1"/>
    <w:rsid w:val="1F95EA2C"/>
    <w:rsid w:val="21477DB7"/>
    <w:rsid w:val="21C5AB2C"/>
    <w:rsid w:val="227C448D"/>
    <w:rsid w:val="2373BBD1"/>
    <w:rsid w:val="23A84FDB"/>
    <w:rsid w:val="2AC4BC31"/>
    <w:rsid w:val="2AE23FC2"/>
    <w:rsid w:val="2B46A06F"/>
    <w:rsid w:val="2CD28520"/>
    <w:rsid w:val="2CFED611"/>
    <w:rsid w:val="32428450"/>
    <w:rsid w:val="364C37B8"/>
    <w:rsid w:val="36C3622D"/>
    <w:rsid w:val="374B68B6"/>
    <w:rsid w:val="37502EDC"/>
    <w:rsid w:val="3B335C04"/>
    <w:rsid w:val="40F3F961"/>
    <w:rsid w:val="45E6DA4D"/>
    <w:rsid w:val="4778FCE1"/>
    <w:rsid w:val="4BC497F4"/>
    <w:rsid w:val="54F9CC37"/>
    <w:rsid w:val="5893F039"/>
    <w:rsid w:val="5AFEF7BD"/>
    <w:rsid w:val="5D85DCD3"/>
    <w:rsid w:val="5F56AD85"/>
    <w:rsid w:val="629E6EDD"/>
    <w:rsid w:val="689632AC"/>
    <w:rsid w:val="76B3CE6B"/>
    <w:rsid w:val="7900AAE5"/>
    <w:rsid w:val="7A78F1CD"/>
    <w:rsid w:val="7D2DA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A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qFormat/>
    <w:pPr>
      <w:numPr>
        <w:numId w:val="3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</w:style>
  <w:style w:type="character" w:customStyle="1" w:styleId="apple-style-span">
    <w:name w:val="apple-style-span"/>
    <w:basedOn w:val="a1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qFormat/>
    <w:rPr>
      <w:sz w:val="22"/>
      <w:szCs w:val="22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2 Знак"/>
    <w:qFormat/>
    <w:rPr>
      <w:rFonts w:eastAsia="Times New Roman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suppressAutoHyphens w:val="0"/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нак"/>
    <w:basedOn w:val="a"/>
    <w:qFormat/>
    <w:pPr>
      <w:suppressAutoHyphens w:val="0"/>
    </w:pPr>
    <w:rPr>
      <w:rFonts w:ascii="Verdana" w:hAnsi="Verdana" w:cs="Verdana"/>
      <w:lang w:val="en-US"/>
    </w:rPr>
  </w:style>
  <w:style w:type="paragraph" w:styleId="aa">
    <w:name w:val="Normal (Web)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d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qFormat/>
    <w:pPr>
      <w:numPr>
        <w:numId w:val="3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</w:style>
  <w:style w:type="character" w:customStyle="1" w:styleId="apple-style-span">
    <w:name w:val="apple-style-span"/>
    <w:basedOn w:val="a1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qFormat/>
    <w:rPr>
      <w:sz w:val="22"/>
      <w:szCs w:val="22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2 Знак"/>
    <w:qFormat/>
    <w:rPr>
      <w:rFonts w:eastAsia="Times New Roman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suppressAutoHyphens w:val="0"/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нак"/>
    <w:basedOn w:val="a"/>
    <w:qFormat/>
    <w:pPr>
      <w:suppressAutoHyphens w:val="0"/>
    </w:pPr>
    <w:rPr>
      <w:rFonts w:ascii="Verdana" w:hAnsi="Verdana" w:cs="Verdana"/>
      <w:lang w:val="en-US"/>
    </w:rPr>
  </w:style>
  <w:style w:type="paragraph" w:styleId="aa">
    <w:name w:val="Normal (Web)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d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y-ust-koksa.ru/tinybrowser/files/dokumenty/2016/06/09-06-2016/2-pasport-zhilischnoe-str-vo-s.maral-nik-1-verh-uymon.sp.docx" TargetMode="External"/><Relationship Id="rId13" Type="http://schemas.openxmlformats.org/officeDocument/2006/relationships/hyperlink" Target="http://altay-ust-koksa.ru/tinybrowser/files/dokumenty/2016/06/09-06-2016/8-pasport-dlya-razmescheniya-skladov-s.ust-koksa-ul.sovhoznaya-2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tay-ust-koksa.ru/tinybrowser/files/dokumenty/2016/06/09-06-2016/1-gornolyzhnyy-kompleks-s.ust-koksa-ul.severnaya-7a.docx" TargetMode="External"/><Relationship Id="rId12" Type="http://schemas.openxmlformats.org/officeDocument/2006/relationships/hyperlink" Target="http://altay-ust-koksa.ru/tinybrowser/files/dokumenty/2016/06/09-06-2016/6-pasport-dlya-inogo-special.naznacheniya-ur.elanda-tald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erh-uimon.ru/" TargetMode="External"/><Relationship Id="rId11" Type="http://schemas.openxmlformats.org/officeDocument/2006/relationships/hyperlink" Target="http://altay-ust-koksa.ru/tinybrowser/files/dokumenty/2016/06/09-06-2016/5-pasport-fabrika-bioproduktov-pantovital-s.ust-koks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tay-ust-koksa.ru/tinybrowser/files/dokumenty/2016/06/09-06-2016/4-pasport-zhilisch.str-vo-s.kaytanak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y-ust-koksa.ru/tinybrowser/files/dokumenty/2016/06/09-06-2016/3-pasport-turistich.kemping-s.maralovodka.docx" TargetMode="External"/><Relationship Id="rId14" Type="http://schemas.openxmlformats.org/officeDocument/2006/relationships/hyperlink" Target="http://altay-ust-koksa.ru/tinybrowser/files/dokumenty/2016/06/09-06-2016/9-pasport-pod-ob-ekty-torgovli-s.ust-koksa-ul.yuzhnaya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8737</Words>
  <Characters>49802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Пользователь Windows</cp:lastModifiedBy>
  <cp:revision>2</cp:revision>
  <cp:lastPrinted>2017-03-29T16:32:00Z</cp:lastPrinted>
  <dcterms:created xsi:type="dcterms:W3CDTF">2021-05-14T07:22:00Z</dcterms:created>
  <dcterms:modified xsi:type="dcterms:W3CDTF">2021-05-14T07:22:00Z</dcterms:modified>
  <dc:language>en-US</dc:language>
</cp:coreProperties>
</file>