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6536D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536DC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E20CE2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«28»  сентября </w:t>
      </w:r>
      <w:r w:rsidR="0072700C">
        <w:rPr>
          <w:sz w:val="24"/>
          <w:szCs w:val="24"/>
        </w:rPr>
        <w:t>2018 год №</w:t>
      </w:r>
      <w:r>
        <w:rPr>
          <w:sz w:val="24"/>
          <w:szCs w:val="24"/>
        </w:rPr>
        <w:t>1046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72700C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0336B0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336B0">
        <w:rPr>
          <w:rFonts w:ascii="Times New Roman" w:hAnsi="Times New Roman" w:cs="Times New Roman"/>
          <w:b w:val="0"/>
          <w:sz w:val="24"/>
          <w:szCs w:val="24"/>
        </w:rPr>
        <w:t>«</w:t>
      </w:r>
      <w:r w:rsidR="004B7CEE">
        <w:rPr>
          <w:rFonts w:ascii="Times New Roman" w:hAnsi="Times New Roman" w:cs="Times New Roman"/>
          <w:b w:val="0"/>
          <w:sz w:val="24"/>
          <w:szCs w:val="24"/>
        </w:rPr>
        <w:t>Внесение изменений в разрешение на строительство</w:t>
      </w:r>
      <w:r w:rsidR="000336B0" w:rsidRP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0336B0">
        <w:rPr>
          <w:sz w:val="24"/>
          <w:szCs w:val="24"/>
        </w:rPr>
        <w:t xml:space="preserve">«Усть-Коксинский </w:t>
      </w:r>
      <w:r w:rsidR="00C63B44">
        <w:rPr>
          <w:sz w:val="24"/>
          <w:szCs w:val="24"/>
        </w:rPr>
        <w:t xml:space="preserve">район» от </w:t>
      </w:r>
      <w:r w:rsidR="004B7CEE">
        <w:rPr>
          <w:sz w:val="24"/>
          <w:szCs w:val="24"/>
        </w:rPr>
        <w:t>04.05.2016 №147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</w:t>
      </w:r>
      <w:r w:rsidR="00174F7C">
        <w:t>В</w:t>
      </w:r>
      <w:r>
        <w:t xml:space="preserve">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174F7C" w:rsidRDefault="00FD6C7B" w:rsidP="00174F7C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174F7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174F7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4B7CEE">
        <w:rPr>
          <w:rFonts w:ascii="Times New Roman" w:hAnsi="Times New Roman" w:cs="Times New Roman"/>
          <w:b w:val="0"/>
          <w:sz w:val="24"/>
          <w:szCs w:val="24"/>
        </w:rPr>
        <w:t xml:space="preserve">Внесение изменений в разрешение на строительство» </w:t>
      </w:r>
      <w:r w:rsidR="00174F7C" w:rsidRPr="00174F7C">
        <w:rPr>
          <w:rFonts w:ascii="Times New Roman" w:hAnsi="Times New Roman" w:cs="Times New Roman"/>
          <w:b w:val="0"/>
          <w:sz w:val="24"/>
          <w:szCs w:val="24"/>
        </w:rPr>
        <w:t>утвержденный пос</w:t>
      </w:r>
      <w:r w:rsidR="004B7CEE">
        <w:rPr>
          <w:rFonts w:ascii="Times New Roman" w:hAnsi="Times New Roman" w:cs="Times New Roman"/>
          <w:b w:val="0"/>
          <w:sz w:val="24"/>
          <w:szCs w:val="24"/>
        </w:rPr>
        <w:t>тановлением Главы Администрации</w:t>
      </w:r>
      <w:r w:rsidR="00174F7C" w:rsidRP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7CEE">
        <w:rPr>
          <w:rFonts w:ascii="Times New Roman" w:hAnsi="Times New Roman" w:cs="Times New Roman"/>
          <w:b w:val="0"/>
          <w:sz w:val="24"/>
          <w:szCs w:val="24"/>
        </w:rPr>
        <w:t xml:space="preserve">МО «Усть-Коксинский район» от 04.05.2016 № 147 </w:t>
      </w: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7CEE" w:rsidRPr="002F0B0C" w:rsidRDefault="004B7CEE" w:rsidP="00233C62">
      <w:pPr>
        <w:pStyle w:val="ConsPlusTitle"/>
        <w:widowControl/>
        <w:numPr>
          <w:ilvl w:val="0"/>
          <w:numId w:val="5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Пункт 12</w:t>
      </w:r>
      <w:r w:rsidR="00FD6C7B" w:rsidRPr="004B7CEE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B7CEE" w:rsidRDefault="004B7CEE" w:rsidP="004B7CE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4B7CEE" w:rsidRPr="004B7CEE" w:rsidRDefault="004B7CEE" w:rsidP="004B7CE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или отсутствие правоустанавливающего документа на земельный участок в случае, указанном в </w:t>
      </w:r>
      <w:hyperlink r:id="rId7" w:history="1">
        <w:r w:rsidRPr="004B7CEE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части 21.13</w:t>
        </w:r>
      </w:hyperlink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 статьи</w:t>
      </w:r>
      <w:r w:rsidRPr="004B7CEE">
        <w:t xml:space="preserve"> </w:t>
      </w:r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ст. 51, "Градостроительный кодекс Российской Федерации" от 29.12.2004 N 190-ФЗ (ред. от 03.08.2018), либо отсутствие документов, предусмотренных </w:t>
      </w:r>
      <w:hyperlink r:id="rId8" w:history="1">
        <w:r w:rsidRPr="004B7CEE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частью 7</w:t>
        </w:r>
      </w:hyperlink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 настоящей статьи, в случае поступления заявления о внесении</w:t>
      </w:r>
      <w:proofErr w:type="gramEnd"/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B7CEE" w:rsidRDefault="004B7CEE" w:rsidP="004B7CEE">
      <w:pPr>
        <w:pStyle w:val="ConsPlusNormal"/>
        <w:ind w:firstLine="360"/>
        <w:jc w:val="both"/>
      </w:pPr>
      <w:r w:rsidRPr="004B7CEE"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4B7CEE" w:rsidRDefault="004B7CEE" w:rsidP="004B7CEE">
      <w:pPr>
        <w:pStyle w:val="ConsPlusNormal"/>
        <w:ind w:firstLine="360"/>
        <w:jc w:val="both"/>
      </w:pPr>
      <w:r w:rsidRPr="004B7CEE"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9" w:history="1">
        <w:r w:rsidRPr="004B7CEE">
          <w:rPr>
            <w:rStyle w:val="a8"/>
          </w:rPr>
          <w:t>частью 21.7</w:t>
        </w:r>
      </w:hyperlink>
      <w:r>
        <w:t xml:space="preserve">статьей </w:t>
      </w:r>
      <w:r w:rsidRPr="004B7CEE">
        <w:t xml:space="preserve">ст. 51, "Градостроительный кодекс Российской Федерации" от 29.12.2004 N 190-ФЗ (ред. от 03.08.2018). При этом </w:t>
      </w:r>
      <w:r w:rsidRPr="004B7CEE">
        <w:lastRenderedPageBreak/>
        <w:t xml:space="preserve">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10" w:history="1">
        <w:r w:rsidRPr="004B7CEE">
          <w:rPr>
            <w:rStyle w:val="a8"/>
          </w:rPr>
          <w:t>части 21.10</w:t>
        </w:r>
      </w:hyperlink>
      <w:r w:rsidRPr="004B7CEE">
        <w:t xml:space="preserve"> статьи ст. 51, "Градостроительный кодекс Российской Федерации" от 29.12.2004 N 190-ФЗ (ред. от 03.08.2018);</w:t>
      </w:r>
    </w:p>
    <w:p w:rsidR="00E85E6A" w:rsidRDefault="004B7CEE" w:rsidP="00E85E6A">
      <w:pPr>
        <w:pStyle w:val="ConsPlusNormal"/>
        <w:ind w:firstLine="360"/>
        <w:jc w:val="both"/>
      </w:pPr>
      <w:proofErr w:type="gramStart"/>
      <w:r w:rsidRPr="004B7CEE"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4B7CEE"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85E6A" w:rsidRDefault="004B7CEE" w:rsidP="00E85E6A">
      <w:pPr>
        <w:pStyle w:val="ConsPlusNormal"/>
        <w:ind w:firstLine="360"/>
        <w:jc w:val="both"/>
      </w:pPr>
      <w:proofErr w:type="gramStart"/>
      <w:r w:rsidRPr="004B7CEE"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11" w:history="1">
        <w:r w:rsidRPr="004B7CEE">
          <w:rPr>
            <w:rStyle w:val="a8"/>
          </w:rPr>
          <w:t>частью 21.7</w:t>
        </w:r>
      </w:hyperlink>
      <w:r w:rsidR="00E85E6A">
        <w:t xml:space="preserve"> </w:t>
      </w:r>
      <w:r w:rsidRPr="004B7CEE">
        <w:t xml:space="preserve"> статьи</w:t>
      </w:r>
      <w:r w:rsidR="00E85E6A" w:rsidRPr="00E85E6A">
        <w:t xml:space="preserve"> ст. 51, "Градостроительный кодекс Российской Федерации" от 29.12.2004 N 190-ФЗ (ред. от 03.08.2018)</w:t>
      </w:r>
      <w:r w:rsidRPr="004B7CEE">
        <w:t>, или в случае поступления заявления</w:t>
      </w:r>
      <w:proofErr w:type="gramEnd"/>
      <w:r w:rsidRPr="004B7CEE">
        <w:t xml:space="preserve">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85E6A" w:rsidRDefault="004B7CEE" w:rsidP="00E85E6A">
      <w:pPr>
        <w:pStyle w:val="ConsPlusNormal"/>
        <w:ind w:firstLine="360"/>
        <w:jc w:val="both"/>
      </w:pPr>
      <w:r w:rsidRPr="004B7CEE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85E6A" w:rsidRDefault="004B7CEE" w:rsidP="00E85E6A">
      <w:pPr>
        <w:pStyle w:val="ConsPlusNormal"/>
        <w:ind w:firstLine="360"/>
        <w:jc w:val="both"/>
      </w:pPr>
      <w:proofErr w:type="gramStart"/>
      <w:r w:rsidRPr="004B7CEE"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4B7CEE">
        <w:t>Росатом</w:t>
      </w:r>
      <w:proofErr w:type="spellEnd"/>
      <w:r w:rsidRPr="004B7CEE">
        <w:t>" или Государственной корпорации по космической деятельности "</w:t>
      </w:r>
      <w:proofErr w:type="spellStart"/>
      <w:r w:rsidRPr="004B7CEE">
        <w:t>Роскосмос</w:t>
      </w:r>
      <w:proofErr w:type="spellEnd"/>
      <w:r w:rsidRPr="004B7CEE"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4B7CEE">
        <w:t xml:space="preserve"> </w:t>
      </w:r>
      <w:proofErr w:type="gramStart"/>
      <w:r w:rsidRPr="004B7CEE"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12" w:history="1">
        <w:r w:rsidRPr="004B7CEE">
          <w:rPr>
            <w:rStyle w:val="a8"/>
          </w:rPr>
          <w:t>части 5 статьи 52</w:t>
        </w:r>
      </w:hyperlink>
      <w:r w:rsidRPr="004B7CEE">
        <w:t xml:space="preserve"> настоящего Кодекса, в случае, если внесение изменений в разрешение на строительство связано с продлением срока действия разрешения</w:t>
      </w:r>
      <w:proofErr w:type="gramEnd"/>
      <w:r w:rsidRPr="004B7CEE">
        <w:t xml:space="preserve"> на строительство;</w:t>
      </w:r>
    </w:p>
    <w:p w:rsidR="004B7CEE" w:rsidRPr="004B7CEE" w:rsidRDefault="004B7CEE" w:rsidP="00E85E6A">
      <w:pPr>
        <w:pStyle w:val="ConsPlusNormal"/>
        <w:ind w:firstLine="360"/>
        <w:jc w:val="both"/>
      </w:pPr>
      <w:r w:rsidRPr="004B7CEE"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233C62" w:rsidRDefault="00233C62" w:rsidP="00233C62">
      <w:pPr>
        <w:pStyle w:val="2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Пункт 9 </w:t>
      </w: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>
        <w:rPr>
          <w:b/>
          <w:sz w:val="24"/>
          <w:szCs w:val="24"/>
        </w:rPr>
        <w:t xml:space="preserve"> изложить в следующей редакции:</w:t>
      </w:r>
    </w:p>
    <w:p w:rsidR="00233C62" w:rsidRPr="00233C62" w:rsidRDefault="00233C62" w:rsidP="0023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3C62">
        <w:rPr>
          <w:rFonts w:ascii="Times New Roman" w:hAnsi="Times New Roman"/>
          <w:sz w:val="24"/>
          <w:szCs w:val="24"/>
        </w:rPr>
        <w:t xml:space="preserve">К  заявлению на  </w:t>
      </w:r>
      <w:r w:rsidRPr="00233C62">
        <w:rPr>
          <w:rFonts w:ascii="Times New Roman" w:eastAsiaTheme="minorHAnsi" w:hAnsi="Times New Roman"/>
          <w:sz w:val="24"/>
          <w:szCs w:val="24"/>
        </w:rPr>
        <w:t xml:space="preserve">выдачу разрешений на строительство </w:t>
      </w:r>
      <w:r w:rsidRPr="00233C62">
        <w:rPr>
          <w:rFonts w:ascii="Times New Roman" w:hAnsi="Times New Roman"/>
          <w:sz w:val="24"/>
          <w:szCs w:val="24"/>
        </w:rPr>
        <w:t>прилагаются следующие документы: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bookmarkStart w:id="0" w:name="P2"/>
      <w:bookmarkEnd w:id="0"/>
      <w: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proofErr w:type="gramStart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33C62" w:rsidRDefault="00233C62" w:rsidP="00233C62">
      <w:pPr>
        <w:pStyle w:val="ConsPlusNormal"/>
        <w:spacing w:before="280"/>
        <w:jc w:val="both"/>
        <w:rPr>
          <w:rFonts w:ascii="Calibri" w:hAnsi="Calibri" w:cs="Calibri"/>
          <w:sz w:val="22"/>
          <w:szCs w:val="20"/>
        </w:rPr>
      </w:pPr>
      <w:bookmarkStart w:id="1" w:name="P10"/>
      <w:bookmarkEnd w:id="1"/>
      <w:r>
        <w:t>3) материалы, содержащиеся в проектной документации: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г) архитектурные решения;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обеспечения;)</w:t>
      </w:r>
      <w:proofErr w:type="gramEnd"/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е) проект организации строительства объекта капитального строительства;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ж) проект организации работ по сносу объектов капитального строительства, их частей;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3" w:history="1">
        <w:r>
          <w:rPr>
            <w:rStyle w:val="a8"/>
          </w:rPr>
          <w:t>статьей 49</w:t>
        </w:r>
      </w:hyperlink>
      <w:r>
        <w:t xml:space="preserve"> Градостроительного Кодекса</w:t>
      </w:r>
      <w:r w:rsidRPr="00233C62">
        <w:t xml:space="preserve"> Российской Федерации</w:t>
      </w:r>
      <w:proofErr w:type="gramEnd"/>
      <w:r w:rsidRPr="00233C62">
        <w:t>" от 29.12.2004 N 190-ФЗ</w:t>
      </w:r>
      <w:r>
        <w:t>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bookmarkStart w:id="2" w:name="P24"/>
      <w:bookmarkEnd w:id="2"/>
      <w:proofErr w:type="gramStart"/>
      <w: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>
          <w:rPr>
            <w:rStyle w:val="a8"/>
          </w:rPr>
          <w:t>частью 12.1 статьи 48</w:t>
        </w:r>
      </w:hyperlink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r>
        <w:t xml:space="preserve">), если такая проектная документация подлежит экспертизе в соответствии со </w:t>
      </w:r>
      <w:hyperlink r:id="rId15" w:history="1">
        <w:r>
          <w:rPr>
            <w:rStyle w:val="a8"/>
          </w:rPr>
          <w:t>статьей 49</w:t>
        </w:r>
      </w:hyperlink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r>
        <w:t xml:space="preserve">;, положительное заключение государственной экспертизы проектной документации в случаях, предусмотренных </w:t>
      </w:r>
      <w:hyperlink r:id="rId16" w:history="1">
        <w:r>
          <w:rPr>
            <w:rStyle w:val="a8"/>
          </w:rPr>
          <w:t>частью 3.4 статьи</w:t>
        </w:r>
        <w:proofErr w:type="gramEnd"/>
        <w:r>
          <w:rPr>
            <w:rStyle w:val="a8"/>
          </w:rPr>
          <w:t xml:space="preserve"> 49</w:t>
        </w:r>
      </w:hyperlink>
      <w:r>
        <w:t xml:space="preserve"> ,</w:t>
      </w:r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r>
        <w:t xml:space="preserve">; </w:t>
      </w:r>
      <w:r>
        <w:lastRenderedPageBreak/>
        <w:t xml:space="preserve">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>
          <w:rPr>
            <w:rStyle w:val="a8"/>
          </w:rPr>
          <w:t>частью 6 статьи 49</w:t>
        </w:r>
      </w:hyperlink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r>
        <w:t>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8" w:history="1">
        <w:r>
          <w:rPr>
            <w:rStyle w:val="a8"/>
          </w:rPr>
          <w:t>статьей 40</w:t>
        </w:r>
      </w:hyperlink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proofErr w:type="gramStart"/>
      <w:r>
        <w:t>;);</w:t>
      </w:r>
      <w:proofErr w:type="gramEnd"/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32" w:history="1">
        <w:r>
          <w:rPr>
            <w:rStyle w:val="a8"/>
          </w:rPr>
          <w:t>пункте 6.2</w:t>
        </w:r>
      </w:hyperlink>
      <w:r>
        <w:t xml:space="preserve"> настоящего регламента случаев реконструкции многоквартирного дома;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proofErr w:type="gramStart"/>
      <w: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bookmarkStart w:id="4" w:name="P32"/>
      <w:bookmarkEnd w:id="4"/>
      <w:r>
        <w:t xml:space="preserve">6.2) 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доме, принятое в соответствии с жилищным </w:t>
      </w:r>
      <w:hyperlink r:id="rId19" w:history="1">
        <w:r>
          <w:rPr>
            <w:rStyle w:val="a8"/>
          </w:rPr>
          <w:t>законодательством</w:t>
        </w:r>
      </w:hyperlink>
      <w: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bookmarkStart w:id="5" w:name="P34"/>
      <w:bookmarkEnd w:id="5"/>
      <w: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bookmarkStart w:id="6" w:name="P38"/>
      <w:bookmarkEnd w:id="6"/>
      <w:proofErr w:type="gramStart"/>
      <w: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0" w:history="1">
        <w:r>
          <w:rPr>
            <w:rStyle w:val="a8"/>
          </w:rPr>
          <w:t>законодательством</w:t>
        </w:r>
      </w:hyperlink>
      <w: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t xml:space="preserve"> или ранее установленная зона </w:t>
      </w:r>
      <w:proofErr w:type="gramStart"/>
      <w:r>
        <w:t>с</w:t>
      </w:r>
      <w:proofErr w:type="gramEnd"/>
      <w:r>
        <w:t xml:space="preserve"> особыми условиями использования территории подлежит изменению;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 xml:space="preserve"> Документы (их копии или сведения, содержащиеся в них), указанные в </w:t>
      </w:r>
      <w:hyperlink w:anchor="P2" w:history="1">
        <w:r>
          <w:rPr>
            <w:rStyle w:val="a8"/>
          </w:rPr>
          <w:t>пунктах 1</w:t>
        </w:r>
      </w:hyperlink>
      <w:r>
        <w:t xml:space="preserve"> - </w:t>
      </w:r>
      <w:hyperlink w:anchor="P27" w:history="1">
        <w:r>
          <w:rPr>
            <w:rStyle w:val="a8"/>
          </w:rPr>
          <w:t>5</w:t>
        </w:r>
      </w:hyperlink>
      <w:r>
        <w:t xml:space="preserve">, </w:t>
      </w:r>
      <w:hyperlink w:anchor="P34" w:history="1">
        <w:r>
          <w:rPr>
            <w:rStyle w:val="a8"/>
          </w:rPr>
          <w:t>7</w:t>
        </w:r>
      </w:hyperlink>
      <w:r>
        <w:t xml:space="preserve"> и </w:t>
      </w:r>
      <w:hyperlink w:anchor="P38" w:history="1">
        <w:r>
          <w:rPr>
            <w:rStyle w:val="a8"/>
          </w:rPr>
          <w:t>9 части 7</w:t>
        </w:r>
      </w:hyperlink>
      <w:r>
        <w:t xml:space="preserve"> настоящей статьи, запрашиваются органами, указанными в </w:t>
      </w:r>
      <w:hyperlink w:anchor="P0" w:history="1">
        <w:r>
          <w:rPr>
            <w:rStyle w:val="a8"/>
          </w:rPr>
          <w:t>абзаце первом части 7</w:t>
        </w:r>
      </w:hyperlink>
      <w:r>
        <w:t xml:space="preserve"> настоящей статьи, в государственных органах, органах местного самоуправления </w:t>
      </w:r>
      <w:proofErr w:type="gramStart"/>
      <w:r>
        <w:lastRenderedPageBreak/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proofErr w:type="gramEnd"/>
    </w:p>
    <w:p w:rsidR="00233C62" w:rsidRDefault="00233C62" w:rsidP="00233C62">
      <w:pPr>
        <w:pStyle w:val="ConsPlusNormal"/>
        <w:spacing w:before="220"/>
        <w:ind w:firstLine="540"/>
        <w:jc w:val="both"/>
      </w:pPr>
      <w:proofErr w:type="gramStart"/>
      <w:r>
        <w:t xml:space="preserve">По межведомственным запросам органов, указанных в </w:t>
      </w:r>
      <w:hyperlink w:anchor="P0" w:history="1">
        <w:r>
          <w:rPr>
            <w:rStyle w:val="a8"/>
          </w:rPr>
          <w:t>абзаце первом части 7</w:t>
        </w:r>
      </w:hyperlink>
      <w:r>
        <w:t xml:space="preserve"> 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" w:history="1">
        <w:r>
          <w:rPr>
            <w:rStyle w:val="a8"/>
          </w:rPr>
          <w:t>пунктах 1</w:t>
        </w:r>
      </w:hyperlink>
      <w:r>
        <w:t xml:space="preserve">, </w:t>
      </w:r>
      <w:hyperlink w:anchor="P10" w:history="1">
        <w:r>
          <w:rPr>
            <w:rStyle w:val="a8"/>
          </w:rPr>
          <w:t>3</w:t>
        </w:r>
      </w:hyperlink>
      <w:r>
        <w:t xml:space="preserve"> и </w:t>
      </w:r>
      <w:hyperlink w:anchor="P24" w:history="1">
        <w:r>
          <w:rPr>
            <w:rStyle w:val="a8"/>
          </w:rPr>
          <w:t>4 части 7</w:t>
        </w:r>
      </w:hyperlink>
      <w: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174F7C" w:rsidRDefault="0072700C" w:rsidP="00B7409C">
      <w:pPr>
        <w:pStyle w:val="a3"/>
        <w:numPr>
          <w:ilvl w:val="0"/>
          <w:numId w:val="9"/>
        </w:numPr>
        <w:tabs>
          <w:tab w:val="left" w:pos="708"/>
        </w:tabs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Настоящее Постановление подлежит официальному опубликованию путем его </w:t>
      </w:r>
      <w:r w:rsidR="00174F7C">
        <w:rPr>
          <w:sz w:val="24"/>
          <w:szCs w:val="24"/>
        </w:rPr>
        <w:t xml:space="preserve">  </w:t>
      </w:r>
    </w:p>
    <w:p w:rsidR="0072700C" w:rsidRPr="00174F7C" w:rsidRDefault="0072700C" w:rsidP="00174F7C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B7409C" w:rsidRDefault="00B7409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72700C" w:rsidRPr="00E246D4" w:rsidRDefault="00B7409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72700C">
        <w:rPr>
          <w:rFonts w:ascii="Times New Roman" w:hAnsi="Times New Roman"/>
          <w:sz w:val="24"/>
          <w:szCs w:val="24"/>
        </w:rPr>
        <w:t xml:space="preserve"> </w:t>
      </w:r>
      <w:r w:rsidR="0072700C"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 w:rsidR="00B7409C">
        <w:rPr>
          <w:rFonts w:ascii="Times New Roman" w:hAnsi="Times New Roman"/>
          <w:sz w:val="24"/>
          <w:szCs w:val="24"/>
        </w:rPr>
        <w:t>ь-Коксинский район» РА</w:t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  <w:t xml:space="preserve">О. М. Абросимова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67FC8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06710"/>
    <w:rsid w:val="000336B0"/>
    <w:rsid w:val="00073373"/>
    <w:rsid w:val="000C00A3"/>
    <w:rsid w:val="000C772A"/>
    <w:rsid w:val="000D1E08"/>
    <w:rsid w:val="00174F7C"/>
    <w:rsid w:val="0020356F"/>
    <w:rsid w:val="00233C62"/>
    <w:rsid w:val="00255A3F"/>
    <w:rsid w:val="00271A34"/>
    <w:rsid w:val="002A4585"/>
    <w:rsid w:val="002E0B75"/>
    <w:rsid w:val="00442E4A"/>
    <w:rsid w:val="004B7CEE"/>
    <w:rsid w:val="004C1BDF"/>
    <w:rsid w:val="004F6D95"/>
    <w:rsid w:val="0054616A"/>
    <w:rsid w:val="005810A0"/>
    <w:rsid w:val="00600B0E"/>
    <w:rsid w:val="00635B42"/>
    <w:rsid w:val="006536DC"/>
    <w:rsid w:val="00696815"/>
    <w:rsid w:val="0071231F"/>
    <w:rsid w:val="0072700C"/>
    <w:rsid w:val="00735A6D"/>
    <w:rsid w:val="007F6344"/>
    <w:rsid w:val="00890C3D"/>
    <w:rsid w:val="00921BD9"/>
    <w:rsid w:val="00935340"/>
    <w:rsid w:val="009633CD"/>
    <w:rsid w:val="00A94C02"/>
    <w:rsid w:val="00B7409C"/>
    <w:rsid w:val="00B800BD"/>
    <w:rsid w:val="00B841BC"/>
    <w:rsid w:val="00B92723"/>
    <w:rsid w:val="00BE334B"/>
    <w:rsid w:val="00C63B44"/>
    <w:rsid w:val="00C93BF0"/>
    <w:rsid w:val="00D93C2B"/>
    <w:rsid w:val="00E20CE2"/>
    <w:rsid w:val="00E85E6A"/>
    <w:rsid w:val="00EF391F"/>
    <w:rsid w:val="00FD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233C6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79A49B587E470FF765B980142546ECC673B25F03349D7F8049310BC82779E7D2FC8EA0693tBqBM" TargetMode="External"/><Relationship Id="rId13" Type="http://schemas.openxmlformats.org/officeDocument/2006/relationships/hyperlink" Target="consultantplus://offline/ref=7134C23BD994B98CE6FB08C68A6AA3E76A6C4983EF7F91BE21B06A2D883FC437304B0FF6EE0CFC5CZ5E7N" TargetMode="External"/><Relationship Id="rId18" Type="http://schemas.openxmlformats.org/officeDocument/2006/relationships/hyperlink" Target="consultantplus://offline/ref=7134C23BD994B98CE6FB08C68A6AA3E76A6C4983EF7F91BE21B06A2D883FC437304B0FF6EE0DFA57Z5E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379A49B587E470FF765B980142546ECC673B25F03349D7F8049310BC82779E7D2FC8EB06t9q2M" TargetMode="External"/><Relationship Id="rId12" Type="http://schemas.openxmlformats.org/officeDocument/2006/relationships/hyperlink" Target="consultantplus://offline/ref=31379A49B587E470FF765B980142546ECC673B25F03349D7F8049310BC82779E7D2FC8EA0592tBq8M" TargetMode="External"/><Relationship Id="rId17" Type="http://schemas.openxmlformats.org/officeDocument/2006/relationships/hyperlink" Target="consultantplus://offline/ref=7134C23BD994B98CE6FB08C68A6AA3E76A6C4983EF7F91BE21B06A2D883FC437304B0FF6EE0CF855Z5E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34C23BD994B98CE6FB08C68A6AA3E76A6C4983EF7F91BE21B06A2D883FC437304B0FF2EEZ0EDN" TargetMode="External"/><Relationship Id="rId20" Type="http://schemas.openxmlformats.org/officeDocument/2006/relationships/hyperlink" Target="consultantplus://offline/ref=7134C23BD994B98CE6FB08C68A6AA3E76A6C4C82EF7591BE21B06A2D883FC437304B0FF6E604ZFEF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1379A49B587E470FF765B980142546ECC673B25F03349D7F8049310BC82779E7D2FC8EB07t9q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34C23BD994B98CE6FB08C68A6AA3E76A6C4983EF7F91BE21B06A2D883FC437304B0FF6EE0CFC5CZ5E7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1379A49B587E470FF765B980142546ECC673B25F03349D7F8049310BC82779E7D2FC8EA0696tBqFM" TargetMode="External"/><Relationship Id="rId19" Type="http://schemas.openxmlformats.org/officeDocument/2006/relationships/hyperlink" Target="consultantplus://offline/ref=7134C23BD994B98CE6FB08C68A6AA3E76A6C4984E87091BE21B06A2D883FC437304B0FF6EE0DFF57Z5E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79A49B587E470FF765B980142546ECC673B25F03349D7F8049310BC82779E7D2FC8EB07t9q2M" TargetMode="External"/><Relationship Id="rId14" Type="http://schemas.openxmlformats.org/officeDocument/2006/relationships/hyperlink" Target="consultantplus://offline/ref=7134C23BD994B98CE6FB08C68A6AA3E76A6C4983EF7F91BE21B06A2D883FC437304B0FF3EAZ0E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34819-23D0-4A04-AFE4-9753DB9D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2018-10-14T13:16:00Z</cp:lastPrinted>
  <dcterms:created xsi:type="dcterms:W3CDTF">2018-02-19T07:28:00Z</dcterms:created>
  <dcterms:modified xsi:type="dcterms:W3CDTF">2018-10-14T13:16:00Z</dcterms:modified>
</cp:coreProperties>
</file>