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B2897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5C7A54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7A54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5C7A54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5C7A54">
        <w:rPr>
          <w:noProof/>
          <w:szCs w:val="20"/>
        </w:rPr>
        <w:pict>
          <v:line id="_x0000_s1026" style="position:absolute;flip:y;z-index:1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80224E" w:rsidTr="00AB2897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д.3,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2-31-33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0224E" w:rsidRPr="002169F9" w:rsidRDefault="0080224E" w:rsidP="00802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28-п </w:t>
      </w:r>
    </w:p>
    <w:p w:rsidR="0080224E" w:rsidRDefault="0080224E" w:rsidP="0080224E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 «Горбуновское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2018 - 2019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80224E" w:rsidRPr="00EC7F6B" w:rsidRDefault="0080224E" w:rsidP="008022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0224E" w:rsidRDefault="0080224E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 xml:space="preserve">с. Усть-Кокса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80224E">
        <w:rPr>
          <w:rFonts w:ascii="Times New Roman" w:hAnsi="Times New Roman" w:cs="Times New Roman"/>
          <w:sz w:val="28"/>
          <w:szCs w:val="28"/>
        </w:rPr>
        <w:t>24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80224E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48113F" w:rsidRDefault="0048113F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FA3BB5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A3BB5">
        <w:rPr>
          <w:rFonts w:ascii="Times New Roman" w:hAnsi="Times New Roman" w:cs="Times New Roman"/>
          <w:sz w:val="28"/>
          <w:szCs w:val="28"/>
        </w:rPr>
        <w:t>МО «</w:t>
      </w:r>
      <w:r w:rsidR="0026622F">
        <w:rPr>
          <w:rFonts w:ascii="Times New Roman" w:hAnsi="Times New Roman" w:cs="Times New Roman"/>
          <w:sz w:val="28"/>
          <w:szCs w:val="28"/>
        </w:rPr>
        <w:t>Горбуновско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r w:rsidR="0026622F"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>сельско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3BB5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224E">
        <w:rPr>
          <w:rFonts w:ascii="Times New Roman" w:hAnsi="Times New Roman" w:cs="Times New Roman"/>
          <w:sz w:val="28"/>
          <w:szCs w:val="28"/>
        </w:rPr>
        <w:t>7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80224E">
        <w:rPr>
          <w:rFonts w:ascii="Times New Roman" w:hAnsi="Times New Roman" w:cs="Times New Roman"/>
          <w:sz w:val="28"/>
          <w:szCs w:val="28"/>
        </w:rPr>
        <w:t xml:space="preserve"> и плановый период 2018 - 2019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26622F">
        <w:rPr>
          <w:rFonts w:ascii="Times New Roman" w:hAnsi="Times New Roman" w:cs="Times New Roman"/>
          <w:sz w:val="28"/>
          <w:szCs w:val="28"/>
        </w:rPr>
        <w:t>Горбуновском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2F">
        <w:rPr>
          <w:rFonts w:ascii="Times New Roman" w:hAnsi="Times New Roman" w:cs="Times New Roman"/>
          <w:sz w:val="28"/>
          <w:szCs w:val="28"/>
        </w:rPr>
        <w:t>Горбуновского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1A7B2B" w:rsidRDefault="001A7B2B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2B" w:rsidRDefault="001A7B2B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2B" w:rsidRPr="00BB41C5" w:rsidRDefault="001A7B2B" w:rsidP="001A7B2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C70CC5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70CC5">
        <w:rPr>
          <w:rFonts w:ascii="Times New Roman" w:hAnsi="Times New Roman" w:cs="Times New Roman"/>
          <w:sz w:val="28"/>
          <w:szCs w:val="28"/>
        </w:rPr>
        <w:t>15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2B" w:rsidRPr="00B114E4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 – это прогнозируемый в очередном финансовом году и плановом периоде общий объем доходов и общий объем расходов бюджета, дефицит (профицит) бюджета в очередном финансовом году и плановом периоде.</w:t>
      </w:r>
    </w:p>
    <w:p w:rsidR="001A7B2B" w:rsidRPr="001C0B23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C70CC5">
        <w:rPr>
          <w:rFonts w:ascii="Times New Roman" w:hAnsi="Times New Roman" w:cs="Times New Roman"/>
          <w:noProof/>
          <w:sz w:val="28"/>
          <w:szCs w:val="28"/>
        </w:rPr>
        <w:t>МО «Горбуновское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C70CC5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70CC5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C70CC5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2018 -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2019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C5">
        <w:rPr>
          <w:rFonts w:ascii="Times New Roman" w:hAnsi="Times New Roman" w:cs="Times New Roman"/>
          <w:sz w:val="28"/>
          <w:szCs w:val="28"/>
        </w:rPr>
        <w:t>Горбуновского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A7B2B" w:rsidRPr="00603582" w:rsidRDefault="001A7B2B" w:rsidP="001A7B2B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70CC5">
        <w:rPr>
          <w:rFonts w:ascii="Times New Roman" w:hAnsi="Times New Roman" w:cs="Times New Roman"/>
          <w:noProof/>
          <w:sz w:val="28"/>
          <w:szCs w:val="28"/>
        </w:rPr>
        <w:t>Горбуновского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017-2019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0CC5">
        <w:rPr>
          <w:rFonts w:ascii="Times New Roman" w:hAnsi="Times New Roman" w:cs="Times New Roman"/>
          <w:noProof/>
          <w:sz w:val="28"/>
          <w:szCs w:val="28"/>
        </w:rPr>
        <w:t>МО «Горбуновское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sz w:val="28"/>
          <w:szCs w:val="28"/>
        </w:rPr>
        <w:t>сельско</w:t>
      </w:r>
      <w:r w:rsidR="00C70CC5">
        <w:rPr>
          <w:rFonts w:ascii="Times New Roman" w:hAnsi="Times New Roman" w:cs="Times New Roman"/>
          <w:sz w:val="28"/>
          <w:szCs w:val="28"/>
        </w:rPr>
        <w:t>е</w:t>
      </w:r>
      <w:r w:rsidRPr="00F708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CC5">
        <w:rPr>
          <w:rFonts w:ascii="Times New Roman" w:hAnsi="Times New Roman" w:cs="Times New Roman"/>
          <w:sz w:val="28"/>
          <w:szCs w:val="28"/>
        </w:rPr>
        <w:t>е»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1A7B2B" w:rsidRPr="00494F25" w:rsidRDefault="001A7B2B" w:rsidP="001A7B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C70CC5">
        <w:rPr>
          <w:rFonts w:ascii="Times New Roman" w:hAnsi="Times New Roman" w:cs="Times New Roman"/>
          <w:iCs/>
          <w:noProof/>
          <w:sz w:val="28"/>
          <w:szCs w:val="28"/>
        </w:rPr>
        <w:t>Горбуновского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noProof/>
          <w:sz w:val="28"/>
          <w:szCs w:val="28"/>
        </w:rPr>
        <w:t>я на 2017 - 2019 г.г.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СЭР на 2017-2019 годы)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3C7B78">
        <w:rPr>
          <w:rFonts w:ascii="Times New Roman" w:hAnsi="Times New Roman" w:cs="Times New Roman"/>
          <w:iCs/>
          <w:noProof/>
          <w:sz w:val="28"/>
          <w:szCs w:val="28"/>
        </w:rPr>
        <w:t>одобрен</w:t>
      </w:r>
      <w:r w:rsidR="00C70CC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постановление</w:t>
      </w:r>
      <w:r w:rsidR="00C70CC5">
        <w:rPr>
          <w:rFonts w:ascii="Times New Roman" w:hAnsi="Times New Roman" w:cs="Times New Roman"/>
          <w:iCs/>
          <w:noProof/>
          <w:sz w:val="28"/>
          <w:szCs w:val="28"/>
        </w:rPr>
        <w:t>м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от 0</w:t>
      </w:r>
      <w:r w:rsidR="00C70CC5">
        <w:rPr>
          <w:rFonts w:ascii="Times New Roman" w:hAnsi="Times New Roman" w:cs="Times New Roman"/>
          <w:iCs/>
          <w:noProof/>
          <w:sz w:val="28"/>
          <w:szCs w:val="28"/>
        </w:rPr>
        <w:t>2.11.2016 №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2B" w:rsidRPr="00F76951" w:rsidRDefault="001A7B2B" w:rsidP="001A7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>Анализ прогноза СЭР показал, что в прогнозе СЭР на 2017-2019 годы 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Pr="003C7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</w:t>
      </w:r>
      <w:r w:rsidR="00C70CC5">
        <w:rPr>
          <w:rFonts w:ascii="Times New Roman" w:hAnsi="Times New Roman" w:cs="Times New Roman"/>
          <w:bCs/>
          <w:sz w:val="28"/>
          <w:szCs w:val="28"/>
        </w:rPr>
        <w:t>МО «Горбуновское сельское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70CC5">
        <w:rPr>
          <w:rFonts w:ascii="Times New Roman" w:hAnsi="Times New Roman" w:cs="Times New Roman"/>
          <w:bCs/>
          <w:sz w:val="28"/>
          <w:szCs w:val="28"/>
        </w:rPr>
        <w:t>е»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C70CC5">
        <w:rPr>
          <w:rFonts w:ascii="Times New Roman" w:hAnsi="Times New Roman" w:cs="Times New Roman"/>
          <w:sz w:val="28"/>
          <w:szCs w:val="28"/>
        </w:rPr>
        <w:t>23</w:t>
      </w:r>
      <w:r w:rsidRPr="007C1490">
        <w:rPr>
          <w:rFonts w:ascii="Times New Roman" w:hAnsi="Times New Roman" w:cs="Times New Roman"/>
          <w:sz w:val="28"/>
          <w:szCs w:val="28"/>
        </w:rPr>
        <w:t>.0</w:t>
      </w:r>
      <w:r w:rsidR="00C70CC5">
        <w:rPr>
          <w:rFonts w:ascii="Times New Roman" w:hAnsi="Times New Roman" w:cs="Times New Roman"/>
          <w:sz w:val="28"/>
          <w:szCs w:val="28"/>
        </w:rPr>
        <w:t>8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C70CC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достижение сбалансированности бюджета </w:t>
      </w:r>
      <w:r w:rsidR="00C70CC5">
        <w:rPr>
          <w:rFonts w:ascii="Times New Roman" w:hAnsi="Times New Roman" w:cs="Times New Roman"/>
          <w:sz w:val="28"/>
          <w:szCs w:val="28"/>
        </w:rPr>
        <w:t>МО «Горбуновское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70C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C5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 </w:t>
      </w:r>
      <w:r w:rsidR="00C70CC5">
        <w:rPr>
          <w:rFonts w:ascii="Times New Roman" w:hAnsi="Times New Roman" w:cs="Times New Roman"/>
          <w:bCs/>
          <w:sz w:val="28"/>
          <w:szCs w:val="28"/>
        </w:rPr>
        <w:t>МО «Горбуновское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70CC5">
        <w:rPr>
          <w:rFonts w:ascii="Times New Roman" w:hAnsi="Times New Roman" w:cs="Times New Roman"/>
          <w:bCs/>
          <w:sz w:val="28"/>
          <w:szCs w:val="28"/>
        </w:rPr>
        <w:t>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70CC5">
        <w:rPr>
          <w:rFonts w:ascii="Times New Roman" w:hAnsi="Times New Roman" w:cs="Times New Roman"/>
          <w:bCs/>
          <w:sz w:val="28"/>
          <w:szCs w:val="28"/>
        </w:rPr>
        <w:t>е»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70CC5">
        <w:rPr>
          <w:rFonts w:ascii="Times New Roman" w:hAnsi="Times New Roman" w:cs="Times New Roman"/>
          <w:sz w:val="28"/>
          <w:szCs w:val="28"/>
        </w:rPr>
        <w:t>от 25.08.2016 года № 38</w:t>
      </w:r>
      <w:r>
        <w:rPr>
          <w:rFonts w:ascii="Times New Roman" w:hAnsi="Times New Roman" w:cs="Times New Roman"/>
          <w:sz w:val="28"/>
          <w:szCs w:val="28"/>
        </w:rPr>
        <w:t>, является продолжение работы по увеличению налоговых и неналоговых доходов сельского поселения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CD">
        <w:rPr>
          <w:rFonts w:ascii="Times New Roman" w:hAnsi="Times New Roman" w:cs="Times New Roman"/>
          <w:sz w:val="28"/>
          <w:szCs w:val="28"/>
        </w:rPr>
        <w:t xml:space="preserve">В проекте бюджета поселения на 2017 – 2019 г.г. по отношению к ожидаемому исполнению 2016 года наблюдается динамика </w:t>
      </w:r>
      <w:r w:rsidR="00A951CD" w:rsidRPr="00A951CD">
        <w:rPr>
          <w:rFonts w:ascii="Times New Roman" w:hAnsi="Times New Roman" w:cs="Times New Roman"/>
          <w:sz w:val="28"/>
          <w:szCs w:val="28"/>
        </w:rPr>
        <w:t>роста</w:t>
      </w:r>
      <w:r w:rsidRPr="00A951CD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сельского поселения в среднем на </w:t>
      </w:r>
      <w:r w:rsidR="00A951CD" w:rsidRPr="00A951CD">
        <w:rPr>
          <w:rFonts w:ascii="Times New Roman" w:hAnsi="Times New Roman" w:cs="Times New Roman"/>
          <w:sz w:val="28"/>
          <w:szCs w:val="28"/>
        </w:rPr>
        <w:t>11,1</w:t>
      </w:r>
      <w:r w:rsidRPr="00A951CD">
        <w:rPr>
          <w:rFonts w:ascii="Times New Roman" w:hAnsi="Times New Roman" w:cs="Times New Roman"/>
          <w:sz w:val="28"/>
          <w:szCs w:val="28"/>
        </w:rPr>
        <w:t>%.</w:t>
      </w:r>
    </w:p>
    <w:p w:rsidR="001A7B2B" w:rsidRPr="00692076" w:rsidRDefault="001A7B2B" w:rsidP="001A7B2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 год и плановый период 2018 и 2019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A7B2B" w:rsidRPr="00C77ED5" w:rsidRDefault="001A7B2B" w:rsidP="001A7B2B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1A7B2B" w:rsidRPr="00C77ED5" w:rsidRDefault="001A7B2B" w:rsidP="001A7B2B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46262">
        <w:rPr>
          <w:rFonts w:ascii="Times New Roman" w:hAnsi="Times New Roman" w:cs="Times New Roman"/>
          <w:sz w:val="28"/>
          <w:szCs w:val="28"/>
        </w:rPr>
        <w:t>2 815,35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287BE1">
        <w:rPr>
          <w:rFonts w:ascii="Times New Roman" w:hAnsi="Times New Roman" w:cs="Times New Roman"/>
          <w:noProof/>
          <w:sz w:val="28"/>
          <w:szCs w:val="28"/>
        </w:rPr>
        <w:t>103,6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1A7B2B" w:rsidRPr="00C77ED5" w:rsidRDefault="001A7B2B" w:rsidP="001A7B2B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46262">
        <w:rPr>
          <w:rFonts w:ascii="Times New Roman" w:hAnsi="Times New Roman" w:cs="Times New Roman"/>
          <w:noProof/>
          <w:sz w:val="28"/>
          <w:szCs w:val="28"/>
        </w:rPr>
        <w:t>2 815,35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287BE1">
        <w:rPr>
          <w:rFonts w:ascii="Times New Roman" w:hAnsi="Times New Roman" w:cs="Times New Roman"/>
          <w:noProof/>
          <w:sz w:val="28"/>
          <w:szCs w:val="28"/>
        </w:rPr>
        <w:t>92,1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017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1A7B2B" w:rsidRPr="00C77ED5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46262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noProof/>
          <w:sz w:val="28"/>
          <w:szCs w:val="28"/>
        </w:rPr>
        <w:t>2 571,35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2019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noProof/>
          <w:sz w:val="28"/>
          <w:szCs w:val="28"/>
        </w:rPr>
        <w:t>2 576,25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E46262">
        <w:rPr>
          <w:rFonts w:ascii="Times New Roman" w:hAnsi="Times New Roman" w:cs="Times New Roman"/>
          <w:noProof/>
          <w:sz w:val="28"/>
          <w:szCs w:val="28"/>
        </w:rPr>
        <w:t>91,3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E46262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A7B2B" w:rsidRPr="00C77ED5" w:rsidRDefault="001A7B2B" w:rsidP="001A7B2B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3C7B78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sz w:val="28"/>
          <w:szCs w:val="28"/>
        </w:rPr>
        <w:t>2 571,35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2019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noProof/>
          <w:sz w:val="28"/>
          <w:szCs w:val="28"/>
        </w:rPr>
        <w:t>2 576,25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E46262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4626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E46262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2019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1A7B2B" w:rsidRPr="00A55F0D" w:rsidRDefault="001A7B2B" w:rsidP="001A7B2B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EA6694">
        <w:rPr>
          <w:rFonts w:ascii="Times New Roman" w:hAnsi="Times New Roman" w:cs="Times New Roman"/>
          <w:sz w:val="28"/>
          <w:szCs w:val="28"/>
        </w:rPr>
        <w:t>62,97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6694">
        <w:rPr>
          <w:rFonts w:ascii="Times New Roman" w:hAnsi="Times New Roman" w:cs="Times New Roman"/>
          <w:sz w:val="28"/>
          <w:szCs w:val="28"/>
        </w:rPr>
        <w:t>126,19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EA66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A66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1A7B2B" w:rsidRPr="00B80F8C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1A7B2B" w:rsidRPr="007966E4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EA6694">
        <w:rPr>
          <w:rFonts w:ascii="Times New Roman" w:hAnsi="Times New Roman" w:cs="Times New Roman"/>
          <w:noProof/>
          <w:sz w:val="28"/>
          <w:szCs w:val="28"/>
        </w:rPr>
        <w:t>11</w:t>
      </w:r>
      <w:r w:rsidRPr="00C06772">
        <w:rPr>
          <w:rFonts w:ascii="Times New Roman" w:hAnsi="Times New Roman" w:cs="Times New Roman"/>
          <w:sz w:val="28"/>
          <w:szCs w:val="28"/>
        </w:rPr>
        <w:t xml:space="preserve">, </w:t>
      </w:r>
      <w:r w:rsidR="00EA6694">
        <w:rPr>
          <w:rFonts w:ascii="Times New Roman" w:hAnsi="Times New Roman" w:cs="Times New Roman"/>
          <w:sz w:val="28"/>
          <w:szCs w:val="28"/>
        </w:rPr>
        <w:t>1</w:t>
      </w:r>
      <w:r w:rsidRPr="00C06772">
        <w:rPr>
          <w:rFonts w:ascii="Times New Roman" w:hAnsi="Times New Roman" w:cs="Times New Roman"/>
          <w:sz w:val="28"/>
          <w:szCs w:val="28"/>
        </w:rPr>
        <w:t xml:space="preserve">2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2019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A7B2B" w:rsidRDefault="001A7B2B" w:rsidP="001A7B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2018 года, на 1 января 2019 года и на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1A7B2B" w:rsidRPr="00334F2F" w:rsidRDefault="001A7B2B" w:rsidP="001A7B2B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1A7B2B" w:rsidRPr="00C06772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проектом Решения доходы местного бюджета в 2017 году составят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2 815,35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155,50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тыс. рублей, или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5,5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AF78FB">
        <w:rPr>
          <w:rFonts w:ascii="Times New Roman" w:hAnsi="Times New Roman" w:cs="Times New Roman"/>
          <w:bCs/>
          <w:sz w:val="28"/>
          <w:szCs w:val="28"/>
        </w:rPr>
        <w:t>2 659,85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F78FB">
        <w:rPr>
          <w:rFonts w:ascii="Times New Roman" w:hAnsi="Times New Roman" w:cs="Times New Roman"/>
          <w:bCs/>
          <w:sz w:val="28"/>
          <w:szCs w:val="28"/>
        </w:rPr>
        <w:t>94,5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доходы местного бюджета составят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2 571,35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161,2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рублей, или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6,3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AF78FB">
        <w:rPr>
          <w:rFonts w:ascii="Times New Roman" w:hAnsi="Times New Roman" w:cs="Times New Roman"/>
          <w:bCs/>
          <w:sz w:val="28"/>
          <w:szCs w:val="28"/>
        </w:rPr>
        <w:t>2 410,15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93,7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доходы местного бюджета составят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2 576,25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166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рублей, или </w:t>
      </w:r>
      <w:r w:rsidR="00AF78FB">
        <w:rPr>
          <w:rFonts w:ascii="Times New Roman" w:eastAsia="Calibri" w:hAnsi="Times New Roman" w:cs="Times New Roman"/>
          <w:sz w:val="28"/>
          <w:szCs w:val="28"/>
          <w:lang w:eastAsia="en-US"/>
        </w:rPr>
        <w:t>6,4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AF78FB">
        <w:rPr>
          <w:rFonts w:ascii="Times New Roman" w:hAnsi="Times New Roman" w:cs="Times New Roman"/>
          <w:bCs/>
          <w:sz w:val="28"/>
          <w:szCs w:val="28"/>
        </w:rPr>
        <w:t>2 410,15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F78FB">
        <w:rPr>
          <w:rFonts w:ascii="Times New Roman" w:hAnsi="Times New Roman" w:cs="Times New Roman"/>
          <w:bCs/>
          <w:sz w:val="28"/>
          <w:szCs w:val="28"/>
        </w:rPr>
        <w:t>93,6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1A7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1A7B2B" w:rsidRPr="00C06772" w:rsidRDefault="001A7B2B" w:rsidP="001A7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1A7B2B" w:rsidRPr="00871133" w:rsidRDefault="001A7B2B" w:rsidP="001A7B2B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7B2B" w:rsidRPr="00871133" w:rsidRDefault="001A7B2B" w:rsidP="001A7B2B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1A7B2B" w:rsidRPr="00FA772B" w:rsidTr="00363F03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1A7B2B" w:rsidRPr="00FA772B" w:rsidTr="00363F03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2017  год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2018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2019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2018 года </w:t>
            </w:r>
          </w:p>
        </w:tc>
      </w:tr>
      <w:tr w:rsidR="001A7B2B" w:rsidRPr="00FA772B" w:rsidTr="00363F03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36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1A7B2B" w:rsidRPr="00FA772B" w:rsidTr="00363F03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A7B2B" w:rsidRPr="00FA772B" w:rsidTr="00363F03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AA5BD6" w:rsidRDefault="001A7B2B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144,82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155,50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161,20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207340" w:rsidRDefault="00483A9C" w:rsidP="00483A9C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207340" w:rsidRDefault="00483A9C" w:rsidP="00483A9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+4,90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1A7B2B" w:rsidRPr="00FA772B" w:rsidTr="00363F03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AA5BD6" w:rsidRDefault="001A7B2B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6,3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7B2B" w:rsidRPr="00FA772B" w:rsidTr="00363F0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AA5BD6" w:rsidRDefault="001A7B2B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483A9C" w:rsidRPr="00FA772B" w:rsidTr="00363F0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483A9C" w:rsidRPr="00AA5BD6" w:rsidRDefault="00483A9C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7B2B" w:rsidRPr="00FA772B" w:rsidTr="00363F0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AA5BD6" w:rsidRDefault="001A7B2B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2 571,52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2 659,85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2 410,15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207340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2 410,15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+88,33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207340" w:rsidRDefault="00483A9C" w:rsidP="00483A9C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-249,70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83A9C" w:rsidRPr="00FA772B" w:rsidTr="00363F0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483A9C" w:rsidRPr="00AA5BD6" w:rsidRDefault="00483A9C" w:rsidP="0036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83A9C" w:rsidRPr="00207340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7B2B" w:rsidRPr="00FA772B" w:rsidTr="00363F03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A33C2A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F1242B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42B">
              <w:rPr>
                <w:rFonts w:ascii="Times New Roman" w:hAnsi="Times New Roman" w:cs="Times New Roman"/>
                <w:b/>
                <w:sz w:val="16"/>
                <w:szCs w:val="16"/>
              </w:rPr>
              <w:t>2 716,34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F1242B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2 815,35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F1242B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2 571,35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F1242B" w:rsidRDefault="00F124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2 576,25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F1242B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+99,01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F1242B" w:rsidRDefault="00483A9C" w:rsidP="00483A9C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F1242B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-244,00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F1242B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F1242B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F1242B" w:rsidRDefault="00483A9C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A7B2B" w:rsidRDefault="001A7B2B" w:rsidP="001A7B2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Как следует из таблицы общий объем доходов на 2017 год  спрогнозирован </w:t>
      </w:r>
      <w:r w:rsidR="002C156A">
        <w:rPr>
          <w:rFonts w:ascii="Times New Roman" w:hAnsi="Times New Roman" w:cs="Times New Roman"/>
          <w:noProof/>
          <w:sz w:val="28"/>
          <w:szCs w:val="28"/>
        </w:rPr>
        <w:t>с ростом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оценки объема доходов в 2016 году на «</w:t>
      </w:r>
      <w:r w:rsidR="002C156A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2C156A">
        <w:rPr>
          <w:rFonts w:ascii="Times New Roman" w:hAnsi="Times New Roman" w:cs="Times New Roman"/>
          <w:noProof/>
          <w:sz w:val="28"/>
          <w:szCs w:val="28"/>
        </w:rPr>
        <w:t>99,01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2C156A">
        <w:rPr>
          <w:rFonts w:ascii="Times New Roman" w:hAnsi="Times New Roman" w:cs="Times New Roman"/>
          <w:noProof/>
          <w:sz w:val="28"/>
          <w:szCs w:val="28"/>
        </w:rPr>
        <w:t>3,6%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2C156A">
        <w:rPr>
          <w:rFonts w:ascii="Times New Roman" w:hAnsi="Times New Roman" w:cs="Times New Roman"/>
          <w:noProof/>
          <w:sz w:val="28"/>
          <w:szCs w:val="28"/>
        </w:rPr>
        <w:t>244,00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2C156A">
        <w:rPr>
          <w:rFonts w:ascii="Times New Roman" w:hAnsi="Times New Roman" w:cs="Times New Roman"/>
          <w:noProof/>
          <w:sz w:val="28"/>
          <w:szCs w:val="28"/>
        </w:rPr>
        <w:t>8,7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снижения безвозмездных поступлений.</w:t>
      </w:r>
    </w:p>
    <w:p w:rsidR="001A7B2B" w:rsidRPr="00B05524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2C156A">
        <w:rPr>
          <w:rFonts w:ascii="Times New Roman" w:hAnsi="Times New Roman" w:cs="Times New Roman"/>
          <w:noProof/>
          <w:sz w:val="28"/>
          <w:szCs w:val="28"/>
        </w:rPr>
        <w:t>4,9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0  тыс.  рублей за   счет   налоговых доходов. </w:t>
      </w:r>
    </w:p>
    <w:p w:rsidR="001A7B2B" w:rsidRPr="00B114E4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2017-2019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показывает незначительн</w:t>
      </w:r>
      <w:r w:rsidR="002C156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6A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2017 год</w:t>
      </w:r>
      <w:r w:rsidR="002C1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ожидаемо</w:t>
      </w:r>
      <w:r w:rsidR="002C156A">
        <w:rPr>
          <w:rFonts w:ascii="Times New Roman" w:hAnsi="Times New Roman" w:cs="Times New Roman"/>
          <w:sz w:val="28"/>
          <w:szCs w:val="28"/>
        </w:rPr>
        <w:t>й оценки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C1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3</w:t>
      </w:r>
      <w:r w:rsidR="002C156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2C156A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%, 2018год к 2017 году </w:t>
      </w:r>
      <w:r w:rsidR="002C156A">
        <w:rPr>
          <w:rFonts w:ascii="Times New Roman" w:hAnsi="Times New Roman" w:cs="Times New Roman"/>
          <w:sz w:val="28"/>
          <w:szCs w:val="28"/>
        </w:rPr>
        <w:t xml:space="preserve">снижается </w:t>
      </w:r>
      <w:r>
        <w:rPr>
          <w:rFonts w:ascii="Times New Roman" w:hAnsi="Times New Roman" w:cs="Times New Roman"/>
          <w:sz w:val="28"/>
          <w:szCs w:val="28"/>
        </w:rPr>
        <w:t>на 9</w:t>
      </w:r>
      <w:r w:rsidR="002C156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доля в общем объеме доходов составляет </w:t>
      </w:r>
      <w:r w:rsidR="002C156A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%, и 2019 год к 2018 году </w:t>
      </w:r>
      <w:r w:rsidR="002C156A">
        <w:rPr>
          <w:rFonts w:ascii="Times New Roman" w:hAnsi="Times New Roman" w:cs="Times New Roman"/>
          <w:sz w:val="28"/>
          <w:szCs w:val="28"/>
        </w:rPr>
        <w:t>спрогнозирован идентично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2C156A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2C15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 поселения </w:t>
      </w:r>
      <w:r w:rsidR="002C156A">
        <w:rPr>
          <w:rFonts w:ascii="Times New Roman" w:hAnsi="Times New Roman" w:cs="Times New Roman"/>
          <w:sz w:val="28"/>
          <w:szCs w:val="28"/>
        </w:rPr>
        <w:t>глубоко дотационный и напрямую</w:t>
      </w:r>
      <w:r>
        <w:rPr>
          <w:rFonts w:ascii="Times New Roman" w:hAnsi="Times New Roman" w:cs="Times New Roman"/>
          <w:sz w:val="28"/>
          <w:szCs w:val="28"/>
        </w:rPr>
        <w:t xml:space="preserve"> 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«Усть-Коксинский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1A7B2B" w:rsidRPr="00B114E4" w:rsidRDefault="001A7B2B" w:rsidP="001A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2C156A">
        <w:rPr>
          <w:rFonts w:ascii="Times New Roman" w:hAnsi="Times New Roman" w:cs="Times New Roman"/>
          <w:sz w:val="28"/>
          <w:szCs w:val="28"/>
        </w:rPr>
        <w:t>Основная доля 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="002C156A">
        <w:rPr>
          <w:rFonts w:ascii="Times New Roman" w:hAnsi="Times New Roman" w:cs="Times New Roman"/>
          <w:sz w:val="28"/>
          <w:szCs w:val="28"/>
        </w:rPr>
        <w:t>приходится на</w:t>
      </w:r>
      <w:r w:rsidRPr="00B114E4">
        <w:rPr>
          <w:rFonts w:ascii="Times New Roman" w:hAnsi="Times New Roman" w:cs="Times New Roman"/>
          <w:sz w:val="28"/>
          <w:szCs w:val="28"/>
        </w:rPr>
        <w:t>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2C156A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2C156A">
        <w:rPr>
          <w:rFonts w:ascii="Times New Roman" w:hAnsi="Times New Roman" w:cs="Times New Roman"/>
          <w:sz w:val="28"/>
          <w:szCs w:val="28"/>
        </w:rPr>
        <w:t>116,50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C156A">
        <w:rPr>
          <w:rFonts w:ascii="Times New Roman" w:hAnsi="Times New Roman" w:cs="Times New Roman"/>
          <w:sz w:val="28"/>
          <w:szCs w:val="28"/>
        </w:rPr>
        <w:t>75,5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C156A">
        <w:rPr>
          <w:rFonts w:ascii="Times New Roman" w:hAnsi="Times New Roman" w:cs="Times New Roman"/>
          <w:sz w:val="28"/>
          <w:szCs w:val="28"/>
        </w:rPr>
        <w:t>121,70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2C156A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C156A">
        <w:rPr>
          <w:rFonts w:ascii="Times New Roman" w:hAnsi="Times New Roman" w:cs="Times New Roman"/>
          <w:sz w:val="28"/>
          <w:szCs w:val="28"/>
        </w:rPr>
        <w:t>126,10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1A7B2B" w:rsidRPr="00360D95" w:rsidRDefault="001A7B2B" w:rsidP="002C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B2B" w:rsidRPr="00692076" w:rsidRDefault="001A7B2B" w:rsidP="001A7B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1A7B2B" w:rsidRPr="00912346" w:rsidRDefault="001A7B2B" w:rsidP="001A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C156A">
        <w:rPr>
          <w:rFonts w:ascii="Times New Roman" w:hAnsi="Times New Roman" w:cs="Times New Roman"/>
          <w:sz w:val="28"/>
          <w:szCs w:val="28"/>
        </w:rPr>
        <w:t>15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1A7B2B" w:rsidRPr="00912346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расходов местного бюджета:  2017 год в сумме – </w:t>
      </w:r>
      <w:r w:rsidR="002C156A">
        <w:rPr>
          <w:rFonts w:ascii="Times New Roman" w:hAnsi="Times New Roman" w:cs="Times New Roman"/>
          <w:noProof/>
          <w:sz w:val="28"/>
          <w:szCs w:val="28"/>
        </w:rPr>
        <w:t>2 815,35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2018 год в сумме – </w:t>
      </w:r>
      <w:r w:rsidR="002C156A">
        <w:rPr>
          <w:rFonts w:ascii="Times New Roman" w:hAnsi="Times New Roman" w:cs="Times New Roman"/>
          <w:noProof/>
          <w:sz w:val="28"/>
          <w:szCs w:val="28"/>
        </w:rPr>
        <w:t>2 571,35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2019 год в сумме – </w:t>
      </w:r>
      <w:r w:rsidR="002C156A">
        <w:rPr>
          <w:rFonts w:ascii="Times New Roman" w:hAnsi="Times New Roman" w:cs="Times New Roman"/>
          <w:noProof/>
          <w:sz w:val="28"/>
          <w:szCs w:val="28"/>
        </w:rPr>
        <w:t>2 576,25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1A7B2B" w:rsidRPr="00912346" w:rsidRDefault="001A7B2B" w:rsidP="001A7B2B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2016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C156A">
        <w:rPr>
          <w:rFonts w:ascii="Times New Roman" w:hAnsi="Times New Roman" w:cs="Times New Roman"/>
          <w:noProof/>
          <w:sz w:val="28"/>
          <w:szCs w:val="28"/>
        </w:rPr>
        <w:t>3 057,26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485FF0">
        <w:rPr>
          <w:rFonts w:ascii="Times New Roman" w:hAnsi="Times New Roman" w:cs="Times New Roman"/>
          <w:noProof/>
          <w:sz w:val="28"/>
          <w:szCs w:val="28"/>
        </w:rPr>
        <w:t>7,9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485FF0">
        <w:rPr>
          <w:rFonts w:ascii="Times New Roman" w:hAnsi="Times New Roman" w:cs="Times New Roman"/>
          <w:noProof/>
          <w:sz w:val="28"/>
          <w:szCs w:val="28"/>
        </w:rPr>
        <w:t>241,91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2018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ниже на </w:t>
      </w:r>
      <w:r w:rsidR="00485FF0">
        <w:rPr>
          <w:rFonts w:ascii="Times New Roman" w:hAnsi="Times New Roman" w:cs="Times New Roman"/>
          <w:noProof/>
          <w:sz w:val="28"/>
          <w:szCs w:val="28"/>
        </w:rPr>
        <w:t>8,7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485FF0">
        <w:rPr>
          <w:rFonts w:ascii="Times New Roman" w:hAnsi="Times New Roman" w:cs="Times New Roman"/>
          <w:noProof/>
          <w:sz w:val="28"/>
          <w:szCs w:val="28"/>
        </w:rPr>
        <w:t>244,00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2019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2018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</w:t>
      </w:r>
      <w:r w:rsidR="00485FF0">
        <w:rPr>
          <w:rFonts w:ascii="Times New Roman" w:hAnsi="Times New Roman" w:cs="Times New Roman"/>
          <w:noProof/>
          <w:sz w:val="28"/>
          <w:szCs w:val="28"/>
        </w:rPr>
        <w:t xml:space="preserve"> 0,2% (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="00485FF0">
        <w:rPr>
          <w:rFonts w:ascii="Times New Roman" w:hAnsi="Times New Roman" w:cs="Times New Roman"/>
          <w:noProof/>
          <w:sz w:val="28"/>
          <w:szCs w:val="28"/>
        </w:rPr>
        <w:t>4,9</w:t>
      </w:r>
      <w:r w:rsidRPr="00912346">
        <w:rPr>
          <w:rFonts w:ascii="Times New Roman" w:hAnsi="Times New Roman" w:cs="Times New Roman"/>
          <w:noProof/>
          <w:sz w:val="28"/>
          <w:szCs w:val="28"/>
        </w:rPr>
        <w:t>0 тыс. рублей</w:t>
      </w:r>
      <w:r w:rsidR="00485FF0">
        <w:rPr>
          <w:rFonts w:ascii="Times New Roman" w:hAnsi="Times New Roman" w:cs="Times New Roman"/>
          <w:noProof/>
          <w:sz w:val="28"/>
          <w:szCs w:val="28"/>
        </w:rPr>
        <w:t>)</w:t>
      </w:r>
      <w:r w:rsidRPr="0091234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Default="001A7B2B" w:rsidP="001A7B2B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1A7B2B" w:rsidRPr="00912346" w:rsidRDefault="001A7B2B" w:rsidP="001A7B2B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1A7B2B" w:rsidRPr="00334F2F" w:rsidTr="00363F03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1A7B2B" w:rsidRPr="00334F2F" w:rsidTr="00363F03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B" w:rsidRPr="00974B07" w:rsidRDefault="001A7B2B" w:rsidP="00363F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B" w:rsidRPr="00974B07" w:rsidRDefault="001A7B2B" w:rsidP="00363F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B" w:rsidRPr="00974B07" w:rsidRDefault="001A7B2B" w:rsidP="00363F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B" w:rsidRPr="00974B07" w:rsidRDefault="001A7B2B" w:rsidP="00363F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B" w:rsidRPr="00974B07" w:rsidRDefault="001A7B2B" w:rsidP="00363F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1A7B2B" w:rsidRPr="00334F2F" w:rsidTr="00363F0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A7B2B" w:rsidRPr="00334F2F" w:rsidTr="00363F03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1A7B2B" w:rsidP="00363F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2 571,35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2 576,25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2B" w:rsidRPr="00974B07" w:rsidRDefault="00485FF0" w:rsidP="00363F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1A7B2B" w:rsidRPr="00334F2F" w:rsidRDefault="001A7B2B" w:rsidP="001A7B2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1A7B2B" w:rsidRPr="009E5430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 xml:space="preserve">2017 год и плановые 2018 и 2019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1A7B2B" w:rsidRPr="009E5430" w:rsidRDefault="001A7B2B" w:rsidP="001A7B2B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1A7B2B" w:rsidRPr="00DB04FF" w:rsidRDefault="001A7B2B" w:rsidP="001A7B2B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1A7B2B" w:rsidRDefault="001A7B2B" w:rsidP="001A7B2B">
      <w:pPr>
        <w:spacing w:before="240" w:after="0" w:line="240" w:lineRule="auto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2017 – 2019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</w:t>
      </w:r>
      <w:r w:rsidR="005A23C6">
        <w:rPr>
          <w:rFonts w:ascii="Times New Roman" w:hAnsi="Times New Roman" w:cs="Times New Roman"/>
          <w:bCs/>
          <w:sz w:val="28"/>
          <w:szCs w:val="28"/>
        </w:rPr>
        <w:t>МО «Горбуновское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A23C6">
        <w:rPr>
          <w:rFonts w:ascii="Times New Roman" w:hAnsi="Times New Roman" w:cs="Times New Roman"/>
          <w:bCs/>
          <w:sz w:val="28"/>
          <w:szCs w:val="28"/>
        </w:rPr>
        <w:t>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A23C6">
        <w:rPr>
          <w:rFonts w:ascii="Times New Roman" w:hAnsi="Times New Roman" w:cs="Times New Roman"/>
          <w:bCs/>
          <w:sz w:val="28"/>
          <w:szCs w:val="28"/>
        </w:rPr>
        <w:t>е»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A23C6">
        <w:rPr>
          <w:rFonts w:ascii="Times New Roman" w:hAnsi="Times New Roman" w:cs="Times New Roman"/>
          <w:sz w:val="28"/>
          <w:szCs w:val="28"/>
        </w:rPr>
        <w:t>от 25</w:t>
      </w:r>
      <w:r w:rsidRPr="007C1490">
        <w:rPr>
          <w:rFonts w:ascii="Times New Roman" w:hAnsi="Times New Roman" w:cs="Times New Roman"/>
          <w:sz w:val="28"/>
          <w:szCs w:val="28"/>
        </w:rPr>
        <w:t>.0</w:t>
      </w:r>
      <w:r w:rsidR="005A23C6">
        <w:rPr>
          <w:rFonts w:ascii="Times New Roman" w:hAnsi="Times New Roman" w:cs="Times New Roman"/>
          <w:sz w:val="28"/>
          <w:szCs w:val="28"/>
        </w:rPr>
        <w:t>8</w:t>
      </w:r>
      <w:r w:rsidRPr="007C1490">
        <w:rPr>
          <w:rFonts w:ascii="Times New Roman" w:hAnsi="Times New Roman" w:cs="Times New Roman"/>
          <w:sz w:val="28"/>
          <w:szCs w:val="28"/>
        </w:rPr>
        <w:t>.2016 года № 3</w:t>
      </w:r>
      <w:r w:rsidR="005A23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5A23C6">
        <w:rPr>
          <w:rFonts w:ascii="Times New Roman" w:hAnsi="Times New Roman" w:cs="Times New Roman"/>
          <w:bCs/>
          <w:sz w:val="28"/>
          <w:szCs w:val="28"/>
        </w:rPr>
        <w:t>МО «Горбуновское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A23C6">
        <w:rPr>
          <w:rFonts w:ascii="Times New Roman" w:hAnsi="Times New Roman" w:cs="Times New Roman"/>
          <w:bCs/>
          <w:sz w:val="28"/>
          <w:szCs w:val="28"/>
        </w:rPr>
        <w:t>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A23C6">
        <w:rPr>
          <w:rFonts w:ascii="Times New Roman" w:hAnsi="Times New Roman" w:cs="Times New Roman"/>
          <w:bCs/>
          <w:sz w:val="28"/>
          <w:szCs w:val="28"/>
        </w:rPr>
        <w:t>е»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A23C6">
        <w:rPr>
          <w:rFonts w:ascii="Times New Roman" w:hAnsi="Times New Roman" w:cs="Times New Roman"/>
          <w:sz w:val="28"/>
          <w:szCs w:val="28"/>
        </w:rPr>
        <w:t>от 25</w:t>
      </w:r>
      <w:r w:rsidRPr="007C1490">
        <w:rPr>
          <w:rFonts w:ascii="Times New Roman" w:hAnsi="Times New Roman" w:cs="Times New Roman"/>
          <w:sz w:val="28"/>
          <w:szCs w:val="28"/>
        </w:rPr>
        <w:t>.0</w:t>
      </w:r>
      <w:r w:rsidR="005A23C6">
        <w:rPr>
          <w:rFonts w:ascii="Times New Roman" w:hAnsi="Times New Roman" w:cs="Times New Roman"/>
          <w:sz w:val="28"/>
          <w:szCs w:val="28"/>
        </w:rPr>
        <w:t>8.2016 года № 38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5A23C6">
        <w:rPr>
          <w:rFonts w:ascii="Times New Roman" w:hAnsi="Times New Roman" w:cs="Times New Roman"/>
          <w:iCs/>
          <w:noProof/>
          <w:sz w:val="28"/>
          <w:szCs w:val="28"/>
        </w:rPr>
        <w:t>Горбуновского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год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, (постановление от 0</w:t>
      </w:r>
      <w:r w:rsidR="005A23C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.11.2016 № </w:t>
      </w:r>
      <w:r w:rsidR="005A23C6">
        <w:rPr>
          <w:rFonts w:ascii="Times New Roman" w:hAnsi="Times New Roman" w:cs="Times New Roman"/>
          <w:iCs/>
          <w:noProof/>
          <w:sz w:val="28"/>
          <w:szCs w:val="28"/>
        </w:rPr>
        <w:t>50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A7B2B" w:rsidRPr="006929C1" w:rsidRDefault="001A7B2B" w:rsidP="005A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2017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23C6">
        <w:rPr>
          <w:rFonts w:ascii="Times New Roman" w:hAnsi="Times New Roman" w:cs="Times New Roman"/>
          <w:noProof/>
          <w:sz w:val="28"/>
          <w:szCs w:val="28"/>
        </w:rPr>
        <w:t>2 815,35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23C6">
        <w:rPr>
          <w:rFonts w:ascii="Times New Roman" w:hAnsi="Times New Roman" w:cs="Times New Roman"/>
          <w:sz w:val="28"/>
          <w:szCs w:val="28"/>
        </w:rPr>
        <w:t>2 815,35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1A7B2B" w:rsidRDefault="001A7B2B" w:rsidP="001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2018 год  и 2019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23C6">
        <w:rPr>
          <w:rFonts w:ascii="Times New Roman" w:hAnsi="Times New Roman" w:cs="Times New Roman"/>
          <w:noProof/>
          <w:sz w:val="28"/>
          <w:szCs w:val="28"/>
        </w:rPr>
        <w:t>2 571,35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5A23C6">
        <w:rPr>
          <w:rFonts w:ascii="Times New Roman" w:hAnsi="Times New Roman" w:cs="Times New Roman"/>
          <w:noProof/>
          <w:sz w:val="28"/>
          <w:szCs w:val="28"/>
        </w:rPr>
        <w:t>2 576,25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23C6">
        <w:rPr>
          <w:rFonts w:ascii="Times New Roman" w:hAnsi="Times New Roman" w:cs="Times New Roman"/>
          <w:noProof/>
          <w:sz w:val="28"/>
          <w:szCs w:val="28"/>
        </w:rPr>
        <w:t>2 571,35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5A23C6">
        <w:rPr>
          <w:rFonts w:ascii="Times New Roman" w:hAnsi="Times New Roman" w:cs="Times New Roman"/>
          <w:noProof/>
          <w:sz w:val="28"/>
          <w:szCs w:val="28"/>
        </w:rPr>
        <w:t>2 576,25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1A7B2B" w:rsidRPr="006929C1" w:rsidRDefault="001A7B2B" w:rsidP="001A7B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2B" w:rsidRPr="00C94ADF" w:rsidRDefault="001A7B2B" w:rsidP="001A7B2B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замечаний контрольно-счетного органа.</w:t>
      </w:r>
    </w:p>
    <w:p w:rsidR="001A7B2B" w:rsidRDefault="001A7B2B" w:rsidP="001A7B2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A7B2B" w:rsidRDefault="001A7B2B" w:rsidP="001A7B2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A7B2B" w:rsidRDefault="001A7B2B" w:rsidP="001A7B2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A3BB5" w:rsidRPr="00B114E4" w:rsidRDefault="00FA3BB5" w:rsidP="00FA3BB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A3BB5" w:rsidRPr="00B114E4" w:rsidRDefault="00FA3BB5" w:rsidP="00FA3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73" w:rsidRDefault="00785173" w:rsidP="008C2D4B">
      <w:pPr>
        <w:spacing w:after="0" w:line="240" w:lineRule="auto"/>
      </w:pPr>
      <w:r>
        <w:separator/>
      </w:r>
    </w:p>
  </w:endnote>
  <w:endnote w:type="continuationSeparator" w:id="1">
    <w:p w:rsidR="00785173" w:rsidRDefault="00785173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73" w:rsidRDefault="00785173" w:rsidP="008C2D4B">
      <w:pPr>
        <w:spacing w:after="0" w:line="240" w:lineRule="auto"/>
      </w:pPr>
      <w:r>
        <w:separator/>
      </w:r>
    </w:p>
  </w:footnote>
  <w:footnote w:type="continuationSeparator" w:id="1">
    <w:p w:rsidR="00785173" w:rsidRDefault="00785173" w:rsidP="008C2D4B">
      <w:pPr>
        <w:spacing w:after="0" w:line="240" w:lineRule="auto"/>
      </w:pPr>
      <w:r>
        <w:continuationSeparator/>
      </w:r>
    </w:p>
  </w:footnote>
  <w:footnote w:id="2">
    <w:p w:rsidR="00AB2897" w:rsidRPr="0080224E" w:rsidRDefault="00AB2897" w:rsidP="007974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224E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80224E">
        <w:rPr>
          <w:rFonts w:ascii="Times New Roman" w:hAnsi="Times New Roman" w:cs="Times New Roman"/>
          <w:sz w:val="16"/>
          <w:szCs w:val="16"/>
        </w:rPr>
        <w:t xml:space="preserve"> </w:t>
      </w:r>
      <w:r w:rsidRPr="0080224E">
        <w:rPr>
          <w:rFonts w:ascii="Times New Roman" w:hAnsi="Times New Roman" w:cs="Times New Roman"/>
          <w:color w:val="26282F"/>
          <w:sz w:val="16"/>
          <w:szCs w:val="16"/>
        </w:rPr>
        <w:t>Принят Государственной Думой 28 января 2011 года. Одобрен Советом Федерации 2 февраля 2011 года</w:t>
      </w:r>
      <w:r w:rsidR="0080224E" w:rsidRPr="0080224E"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 w:rsidR="0080224E" w:rsidRPr="0080224E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="0080224E" w:rsidRPr="0080224E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="0080224E" w:rsidRPr="0080224E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="0080224E" w:rsidRPr="0080224E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80224E" w:rsidRPr="0080224E">
        <w:rPr>
          <w:rFonts w:ascii="Times New Roman" w:hAnsi="Times New Roman" w:cs="Times New Roman"/>
          <w:sz w:val="16"/>
          <w:szCs w:val="16"/>
        </w:rPr>
        <w:t>)</w:t>
      </w:r>
      <w:r w:rsidR="0080224E" w:rsidRPr="0080224E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AB2897" w:rsidRPr="0080224E" w:rsidRDefault="00AB2897" w:rsidP="0080224E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Утверждёно Решением Совета Депутатов МО «Усть-Коксинский район» РА от 22.11.2013 № 3-3</w:t>
      </w:r>
      <w:r w:rsidR="0080224E" w:rsidRPr="0080224E">
        <w:rPr>
          <w:rFonts w:ascii="Times New Roman" w:hAnsi="Times New Roman"/>
          <w:sz w:val="16"/>
          <w:szCs w:val="16"/>
        </w:rPr>
        <w:t xml:space="preserve"> (с изменениями от 28.03.2014 № 7-11, от 30.12.2014 № 14-3).</w:t>
      </w:r>
    </w:p>
  </w:footnote>
  <w:footnote w:id="4">
    <w:p w:rsidR="00AB2897" w:rsidRPr="0080224E" w:rsidRDefault="00AB2897" w:rsidP="008C2D4B">
      <w:pPr>
        <w:pStyle w:val="a8"/>
        <w:rPr>
          <w:rFonts w:ascii="Times New Roman" w:hAnsi="Times New Roman"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Утверждёно Решением сельского Совета депутатов от 12.11.2008 № 3-2</w:t>
      </w:r>
      <w:r w:rsidR="0080224E">
        <w:rPr>
          <w:rFonts w:ascii="Times New Roman" w:hAnsi="Times New Roman"/>
          <w:sz w:val="16"/>
          <w:szCs w:val="16"/>
        </w:rPr>
        <w:t xml:space="preserve"> (с изменениями от 13.10.2016 № 17-3)</w:t>
      </w:r>
      <w:r w:rsidRPr="0080224E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97" w:rsidRDefault="005C7A54">
    <w:pPr>
      <w:pStyle w:val="ac"/>
      <w:jc w:val="center"/>
    </w:pPr>
    <w:fldSimple w:instr=" PAGE   \* MERGEFORMAT ">
      <w:r w:rsidR="00C27B5A">
        <w:rPr>
          <w:noProof/>
        </w:rPr>
        <w:t>2</w:t>
      </w:r>
    </w:fldSimple>
  </w:p>
  <w:p w:rsidR="00AB2897" w:rsidRDefault="00AB28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171AA"/>
    <w:rsid w:val="0002350E"/>
    <w:rsid w:val="0003686A"/>
    <w:rsid w:val="00037F94"/>
    <w:rsid w:val="00046058"/>
    <w:rsid w:val="00052105"/>
    <w:rsid w:val="00056503"/>
    <w:rsid w:val="000640E0"/>
    <w:rsid w:val="000653B5"/>
    <w:rsid w:val="00070E82"/>
    <w:rsid w:val="00071E92"/>
    <w:rsid w:val="00084BE6"/>
    <w:rsid w:val="000A31E9"/>
    <w:rsid w:val="000A3DF8"/>
    <w:rsid w:val="000D1193"/>
    <w:rsid w:val="000E0617"/>
    <w:rsid w:val="000E244F"/>
    <w:rsid w:val="000E4F99"/>
    <w:rsid w:val="000E7FCA"/>
    <w:rsid w:val="000F5380"/>
    <w:rsid w:val="000F743F"/>
    <w:rsid w:val="00104192"/>
    <w:rsid w:val="00123644"/>
    <w:rsid w:val="0014049A"/>
    <w:rsid w:val="00140E6D"/>
    <w:rsid w:val="00146232"/>
    <w:rsid w:val="00150C6E"/>
    <w:rsid w:val="001571AC"/>
    <w:rsid w:val="00166709"/>
    <w:rsid w:val="00177AB7"/>
    <w:rsid w:val="001A7B2B"/>
    <w:rsid w:val="001E0058"/>
    <w:rsid w:val="001E18CC"/>
    <w:rsid w:val="0021242B"/>
    <w:rsid w:val="002169F9"/>
    <w:rsid w:val="00220E2B"/>
    <w:rsid w:val="0024694E"/>
    <w:rsid w:val="00252015"/>
    <w:rsid w:val="00256EFA"/>
    <w:rsid w:val="0026622F"/>
    <w:rsid w:val="00266486"/>
    <w:rsid w:val="0027042B"/>
    <w:rsid w:val="00271A66"/>
    <w:rsid w:val="00274208"/>
    <w:rsid w:val="00285548"/>
    <w:rsid w:val="00287BE1"/>
    <w:rsid w:val="00295CCE"/>
    <w:rsid w:val="002C156A"/>
    <w:rsid w:val="002D3351"/>
    <w:rsid w:val="002F65FA"/>
    <w:rsid w:val="0030237F"/>
    <w:rsid w:val="003263A7"/>
    <w:rsid w:val="003404F1"/>
    <w:rsid w:val="0035390B"/>
    <w:rsid w:val="00360D95"/>
    <w:rsid w:val="00373B41"/>
    <w:rsid w:val="00385EE8"/>
    <w:rsid w:val="00397866"/>
    <w:rsid w:val="003A1994"/>
    <w:rsid w:val="003A1AFD"/>
    <w:rsid w:val="003B4CCB"/>
    <w:rsid w:val="003C02CA"/>
    <w:rsid w:val="003C61DC"/>
    <w:rsid w:val="003C7B78"/>
    <w:rsid w:val="003E0998"/>
    <w:rsid w:val="003E246B"/>
    <w:rsid w:val="003E2C58"/>
    <w:rsid w:val="003E5926"/>
    <w:rsid w:val="003F1377"/>
    <w:rsid w:val="003F45D7"/>
    <w:rsid w:val="003F706E"/>
    <w:rsid w:val="004072EB"/>
    <w:rsid w:val="004131A0"/>
    <w:rsid w:val="0044000C"/>
    <w:rsid w:val="00446E2F"/>
    <w:rsid w:val="004562DB"/>
    <w:rsid w:val="004705DA"/>
    <w:rsid w:val="0048113F"/>
    <w:rsid w:val="00483A9C"/>
    <w:rsid w:val="00485FF0"/>
    <w:rsid w:val="005100AC"/>
    <w:rsid w:val="00515F53"/>
    <w:rsid w:val="00542670"/>
    <w:rsid w:val="00553442"/>
    <w:rsid w:val="00553C4D"/>
    <w:rsid w:val="005630BB"/>
    <w:rsid w:val="00566F28"/>
    <w:rsid w:val="00572E64"/>
    <w:rsid w:val="00582DA8"/>
    <w:rsid w:val="00590BB6"/>
    <w:rsid w:val="00592C45"/>
    <w:rsid w:val="00596D87"/>
    <w:rsid w:val="005A23C6"/>
    <w:rsid w:val="005C17D6"/>
    <w:rsid w:val="005C7A54"/>
    <w:rsid w:val="005D1608"/>
    <w:rsid w:val="005D6A8A"/>
    <w:rsid w:val="00603308"/>
    <w:rsid w:val="00616D68"/>
    <w:rsid w:val="00625B71"/>
    <w:rsid w:val="006440FC"/>
    <w:rsid w:val="00692076"/>
    <w:rsid w:val="006A2E4F"/>
    <w:rsid w:val="006B29A1"/>
    <w:rsid w:val="006B3905"/>
    <w:rsid w:val="006C2C6B"/>
    <w:rsid w:val="006C42A0"/>
    <w:rsid w:val="006D688B"/>
    <w:rsid w:val="006D694B"/>
    <w:rsid w:val="006E34DE"/>
    <w:rsid w:val="006E4C26"/>
    <w:rsid w:val="00702918"/>
    <w:rsid w:val="00703E14"/>
    <w:rsid w:val="00707D08"/>
    <w:rsid w:val="00721267"/>
    <w:rsid w:val="007258E0"/>
    <w:rsid w:val="00744A05"/>
    <w:rsid w:val="00744E3F"/>
    <w:rsid w:val="00760D2A"/>
    <w:rsid w:val="00763DB3"/>
    <w:rsid w:val="007652C1"/>
    <w:rsid w:val="007764FA"/>
    <w:rsid w:val="0077775C"/>
    <w:rsid w:val="00785173"/>
    <w:rsid w:val="007974AC"/>
    <w:rsid w:val="007B1300"/>
    <w:rsid w:val="007B4071"/>
    <w:rsid w:val="007C687F"/>
    <w:rsid w:val="007D20ED"/>
    <w:rsid w:val="007D76BD"/>
    <w:rsid w:val="007E41DF"/>
    <w:rsid w:val="007E5703"/>
    <w:rsid w:val="007F3E92"/>
    <w:rsid w:val="007F4F19"/>
    <w:rsid w:val="007F5725"/>
    <w:rsid w:val="008003E8"/>
    <w:rsid w:val="0080224E"/>
    <w:rsid w:val="008247E0"/>
    <w:rsid w:val="00864C95"/>
    <w:rsid w:val="00872078"/>
    <w:rsid w:val="00873C25"/>
    <w:rsid w:val="00874FAB"/>
    <w:rsid w:val="008759EE"/>
    <w:rsid w:val="00896D5F"/>
    <w:rsid w:val="008B4AF8"/>
    <w:rsid w:val="008C2D4B"/>
    <w:rsid w:val="008C60CC"/>
    <w:rsid w:val="008D3D45"/>
    <w:rsid w:val="008D5875"/>
    <w:rsid w:val="008F48DA"/>
    <w:rsid w:val="00904738"/>
    <w:rsid w:val="0092071C"/>
    <w:rsid w:val="00956ECC"/>
    <w:rsid w:val="00970AF3"/>
    <w:rsid w:val="00972910"/>
    <w:rsid w:val="00984881"/>
    <w:rsid w:val="009A07AD"/>
    <w:rsid w:val="009B0F54"/>
    <w:rsid w:val="009B1168"/>
    <w:rsid w:val="009C0B30"/>
    <w:rsid w:val="009D6FCD"/>
    <w:rsid w:val="009E6DA6"/>
    <w:rsid w:val="009F1936"/>
    <w:rsid w:val="009F6746"/>
    <w:rsid w:val="00A12F87"/>
    <w:rsid w:val="00A14D8A"/>
    <w:rsid w:val="00A32E57"/>
    <w:rsid w:val="00A3765D"/>
    <w:rsid w:val="00A4065E"/>
    <w:rsid w:val="00A4505A"/>
    <w:rsid w:val="00A57FC6"/>
    <w:rsid w:val="00A70849"/>
    <w:rsid w:val="00A72A9B"/>
    <w:rsid w:val="00A82AE5"/>
    <w:rsid w:val="00A951CD"/>
    <w:rsid w:val="00A96DE4"/>
    <w:rsid w:val="00AA11E2"/>
    <w:rsid w:val="00AA7A96"/>
    <w:rsid w:val="00AB2897"/>
    <w:rsid w:val="00AB5AC2"/>
    <w:rsid w:val="00AC34D0"/>
    <w:rsid w:val="00AF2533"/>
    <w:rsid w:val="00AF6B87"/>
    <w:rsid w:val="00AF78FB"/>
    <w:rsid w:val="00B114E4"/>
    <w:rsid w:val="00B16561"/>
    <w:rsid w:val="00B34273"/>
    <w:rsid w:val="00B36EA8"/>
    <w:rsid w:val="00B41FDD"/>
    <w:rsid w:val="00B430AD"/>
    <w:rsid w:val="00B61276"/>
    <w:rsid w:val="00B61707"/>
    <w:rsid w:val="00B6325A"/>
    <w:rsid w:val="00B67F3E"/>
    <w:rsid w:val="00B81E61"/>
    <w:rsid w:val="00BA166E"/>
    <w:rsid w:val="00BA2976"/>
    <w:rsid w:val="00BA32A7"/>
    <w:rsid w:val="00BA5658"/>
    <w:rsid w:val="00BD5400"/>
    <w:rsid w:val="00BE0B54"/>
    <w:rsid w:val="00BE7C4F"/>
    <w:rsid w:val="00BF6176"/>
    <w:rsid w:val="00C10BCC"/>
    <w:rsid w:val="00C10D3C"/>
    <w:rsid w:val="00C24E84"/>
    <w:rsid w:val="00C26C5F"/>
    <w:rsid w:val="00C27B5A"/>
    <w:rsid w:val="00C32D02"/>
    <w:rsid w:val="00C50022"/>
    <w:rsid w:val="00C51EDD"/>
    <w:rsid w:val="00C55754"/>
    <w:rsid w:val="00C55DA2"/>
    <w:rsid w:val="00C5771F"/>
    <w:rsid w:val="00C63911"/>
    <w:rsid w:val="00C63EEE"/>
    <w:rsid w:val="00C66AD8"/>
    <w:rsid w:val="00C70CC5"/>
    <w:rsid w:val="00C74D91"/>
    <w:rsid w:val="00C9228E"/>
    <w:rsid w:val="00C94BF4"/>
    <w:rsid w:val="00C95E7B"/>
    <w:rsid w:val="00CA3375"/>
    <w:rsid w:val="00CB1904"/>
    <w:rsid w:val="00CC0DB7"/>
    <w:rsid w:val="00CC53FB"/>
    <w:rsid w:val="00CE4017"/>
    <w:rsid w:val="00D2327E"/>
    <w:rsid w:val="00D3367C"/>
    <w:rsid w:val="00D51E26"/>
    <w:rsid w:val="00D5574E"/>
    <w:rsid w:val="00D76D68"/>
    <w:rsid w:val="00D914D4"/>
    <w:rsid w:val="00DA49A2"/>
    <w:rsid w:val="00DA74AD"/>
    <w:rsid w:val="00DC55DE"/>
    <w:rsid w:val="00DD41C7"/>
    <w:rsid w:val="00DD5F8A"/>
    <w:rsid w:val="00E0427E"/>
    <w:rsid w:val="00E04DE8"/>
    <w:rsid w:val="00E12918"/>
    <w:rsid w:val="00E21D58"/>
    <w:rsid w:val="00E27B92"/>
    <w:rsid w:val="00E30A22"/>
    <w:rsid w:val="00E34207"/>
    <w:rsid w:val="00E36EE4"/>
    <w:rsid w:val="00E42F8B"/>
    <w:rsid w:val="00E46262"/>
    <w:rsid w:val="00E51FB1"/>
    <w:rsid w:val="00E558C9"/>
    <w:rsid w:val="00E57326"/>
    <w:rsid w:val="00E615E3"/>
    <w:rsid w:val="00E67A2C"/>
    <w:rsid w:val="00E723B0"/>
    <w:rsid w:val="00E77962"/>
    <w:rsid w:val="00E97EC6"/>
    <w:rsid w:val="00EA25B6"/>
    <w:rsid w:val="00EA6694"/>
    <w:rsid w:val="00EB7AD6"/>
    <w:rsid w:val="00EC6B30"/>
    <w:rsid w:val="00ED14C5"/>
    <w:rsid w:val="00ED1B1A"/>
    <w:rsid w:val="00F10B0F"/>
    <w:rsid w:val="00F11B81"/>
    <w:rsid w:val="00F1242B"/>
    <w:rsid w:val="00F203A6"/>
    <w:rsid w:val="00F226EF"/>
    <w:rsid w:val="00F23BB5"/>
    <w:rsid w:val="00F324EA"/>
    <w:rsid w:val="00F37108"/>
    <w:rsid w:val="00F46F09"/>
    <w:rsid w:val="00F50A2B"/>
    <w:rsid w:val="00F64088"/>
    <w:rsid w:val="00F74396"/>
    <w:rsid w:val="00FA3BB5"/>
    <w:rsid w:val="00FB6B01"/>
    <w:rsid w:val="00FC07F9"/>
    <w:rsid w:val="00FD2E04"/>
    <w:rsid w:val="00FF012D"/>
    <w:rsid w:val="00FF4CE8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25C-EBC5-4362-AFE2-8FFEF94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182</cp:revision>
  <cp:lastPrinted>2016-11-24T12:11:00Z</cp:lastPrinted>
  <dcterms:created xsi:type="dcterms:W3CDTF">2014-11-12T08:55:00Z</dcterms:created>
  <dcterms:modified xsi:type="dcterms:W3CDTF">2016-11-24T12:17:00Z</dcterms:modified>
</cp:coreProperties>
</file>