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973FE6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973FE6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750650">
        <w:rPr>
          <w:sz w:val="24"/>
          <w:szCs w:val="24"/>
        </w:rPr>
        <w:t>22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99,967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9,697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B81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>90,967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C13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13B81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>9,600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A10474" w:rsidRPr="007847F5">
        <w:rPr>
          <w:sz w:val="24"/>
          <w:szCs w:val="24"/>
        </w:rPr>
        <w:t>Профилактика правонарушений и преступлений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10474">
              <w:rPr>
                <w:sz w:val="24"/>
                <w:szCs w:val="24"/>
              </w:rPr>
              <w:t>55</w:t>
            </w:r>
            <w:r w:rsidR="00A26938">
              <w:rPr>
                <w:sz w:val="24"/>
                <w:szCs w:val="24"/>
              </w:rPr>
              <w:t>,</w:t>
            </w:r>
            <w:r w:rsidR="00A10474">
              <w:rPr>
                <w:sz w:val="24"/>
                <w:szCs w:val="24"/>
              </w:rPr>
              <w:t>57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2693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A104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A10474">
              <w:rPr>
                <w:sz w:val="24"/>
                <w:szCs w:val="24"/>
              </w:rPr>
              <w:t>45,97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53E26" w:rsidRDefault="00653E26" w:rsidP="00653E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E26" w:rsidRDefault="00653E26" w:rsidP="00653E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E26" w:rsidRDefault="00653E26" w:rsidP="00653E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Профилактика наркомании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653E26" w:rsidRPr="00C860F4" w:rsidRDefault="00653E26" w:rsidP="00653E2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653E26" w:rsidRPr="00C860F4" w:rsidTr="00CF6D4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E26" w:rsidRPr="00C860F4" w:rsidRDefault="00653E26" w:rsidP="00CF6D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3E26" w:rsidRPr="00C860F4" w:rsidRDefault="00653E26" w:rsidP="00CF6D44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22,50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53E26" w:rsidRPr="00C860F4" w:rsidRDefault="00653E26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53E26" w:rsidRPr="00C860F4" w:rsidRDefault="00653E26" w:rsidP="00CF6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53E26" w:rsidRPr="00C860F4" w:rsidRDefault="00653E26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53E26" w:rsidRPr="00C860F4" w:rsidRDefault="00653E26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653E26" w:rsidRPr="00C860F4" w:rsidRDefault="00653E26" w:rsidP="00653E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22,50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53E26" w:rsidRDefault="00653E26" w:rsidP="00653E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135C" w:rsidRDefault="00A0135C" w:rsidP="00A013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4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3 </w:t>
      </w:r>
      <w:r w:rsidRPr="00C860F4">
        <w:rPr>
          <w:sz w:val="24"/>
          <w:szCs w:val="24"/>
        </w:rPr>
        <w:t>«</w:t>
      </w:r>
      <w:r w:rsidRPr="007847F5">
        <w:rPr>
          <w:sz w:val="24"/>
          <w:szCs w:val="24"/>
        </w:rPr>
        <w:t>Противодействие коррупции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A0135C" w:rsidRPr="00C860F4" w:rsidRDefault="00A0135C" w:rsidP="00A013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A0135C" w:rsidRPr="00C860F4" w:rsidTr="00CF6D4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5C" w:rsidRPr="00C860F4" w:rsidRDefault="00A0135C" w:rsidP="00CF6D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135C" w:rsidRPr="00C860F4" w:rsidRDefault="00A0135C" w:rsidP="00CF6D44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22,50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0135C" w:rsidRPr="00C860F4" w:rsidRDefault="00A0135C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0135C" w:rsidRPr="00C860F4" w:rsidRDefault="00A0135C" w:rsidP="00CF6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0135C" w:rsidRPr="00C860F4" w:rsidRDefault="00A0135C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0135C" w:rsidRPr="00C860F4" w:rsidRDefault="00A0135C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A0135C" w:rsidRPr="00C860F4" w:rsidRDefault="00A0135C" w:rsidP="00CF6D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22,50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A0135C" w:rsidRDefault="00A0135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A0135C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A0135C" w:rsidRPr="00A0135C" w:rsidRDefault="00E02C3A" w:rsidP="00A0135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A0135C" w:rsidRPr="00A0135C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99,967  тыс. рублей,  в том числе по годам реализации программы:</w:t>
      </w:r>
    </w:p>
    <w:p w:rsidR="00A0135C" w:rsidRPr="00A0135C" w:rsidRDefault="00A0135C" w:rsidP="00A0135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>2019 год – 9,697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18,00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18,00 тыс. рублей.   </w:t>
      </w:r>
      <w:proofErr w:type="gramEnd"/>
    </w:p>
    <w:p w:rsidR="00A0135C" w:rsidRPr="00A0135C" w:rsidRDefault="00A0135C" w:rsidP="00A0135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A0135C" w:rsidRPr="00A0135C" w:rsidRDefault="00A0135C" w:rsidP="00A0135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A0135C" w:rsidRPr="00A0135C" w:rsidRDefault="00A0135C" w:rsidP="00A0135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90,967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A0135C" w:rsidRDefault="00A0135C" w:rsidP="00A0135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 w:rsidRPr="00A0135C">
        <w:rPr>
          <w:rFonts w:ascii="Times New Roman" w:hAnsi="Times New Roman" w:cs="Times New Roman"/>
          <w:bCs/>
          <w:sz w:val="24"/>
          <w:szCs w:val="24"/>
        </w:rPr>
        <w:t>9,600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4468" w:rsidRDefault="00B34931" w:rsidP="00A013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A0135C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E6"/>
    <w:rsid w:val="009E364B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31</cp:revision>
  <cp:lastPrinted>2017-11-10T02:15:00Z</cp:lastPrinted>
  <dcterms:created xsi:type="dcterms:W3CDTF">2017-11-08T05:54:00Z</dcterms:created>
  <dcterms:modified xsi:type="dcterms:W3CDTF">2019-05-14T10:41:00Z</dcterms:modified>
</cp:coreProperties>
</file>