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60" w:rsidRPr="00A52D60" w:rsidRDefault="00A52D60" w:rsidP="00A52D60">
      <w:pPr>
        <w:spacing w:after="375"/>
        <w:ind w:left="0" w:right="0" w:firstLine="0"/>
        <w:outlineLvl w:val="0"/>
        <w:rPr>
          <w:rFonts w:ascii="inherit" w:eastAsia="Times New Roman" w:hAnsi="inherit" w:cs="Helvetica"/>
          <w:b/>
          <w:bCs/>
          <w:color w:val="767676"/>
          <w:kern w:val="36"/>
          <w:sz w:val="43"/>
          <w:szCs w:val="43"/>
          <w:lang w:eastAsia="ru-RU"/>
        </w:rPr>
      </w:pPr>
      <w:r w:rsidRPr="00A52D60">
        <w:rPr>
          <w:rFonts w:ascii="inherit" w:eastAsia="Times New Roman" w:hAnsi="inherit" w:cs="Helvetica"/>
          <w:b/>
          <w:bCs/>
          <w:color w:val="767676"/>
          <w:kern w:val="36"/>
          <w:sz w:val="43"/>
          <w:szCs w:val="43"/>
          <w:lang w:eastAsia="ru-RU"/>
        </w:rPr>
        <w:t>Обзор проблемных вопросов, возникающих при заполнении справок о доходах, об имуществе и обязательствах имущественного характера</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Порядок заполнения </w:t>
      </w:r>
      <w:r w:rsidRPr="00A52D60">
        <w:rPr>
          <w:rFonts w:ascii="SegoeUI" w:eastAsia="Times New Roman" w:hAnsi="SegoeUI" w:cs="Helvetica"/>
          <w:b/>
          <w:bCs/>
          <w:color w:val="767676"/>
          <w:sz w:val="24"/>
          <w:szCs w:val="24"/>
          <w:lang w:eastAsia="ru-RU"/>
        </w:rPr>
        <w:t>раздела 1</w:t>
      </w:r>
      <w:r w:rsidRPr="00A52D60">
        <w:rPr>
          <w:rFonts w:ascii="SegoeUI" w:eastAsia="Times New Roman" w:hAnsi="SegoeUI" w:cs="Helvetica"/>
          <w:color w:val="767676"/>
          <w:sz w:val="24"/>
          <w:szCs w:val="24"/>
          <w:lang w:eastAsia="ru-RU"/>
        </w:rPr>
        <w:t xml:space="preserve"> </w:t>
      </w:r>
      <w:r w:rsidRPr="00A52D60">
        <w:rPr>
          <w:rFonts w:ascii="SegoeUI" w:eastAsia="Times New Roman" w:hAnsi="SegoeUI" w:cs="Helvetica"/>
          <w:b/>
          <w:bCs/>
          <w:color w:val="767676"/>
          <w:sz w:val="24"/>
          <w:szCs w:val="24"/>
          <w:lang w:eastAsia="ru-RU"/>
        </w:rPr>
        <w:t>«Сведения о доходах»</w:t>
      </w:r>
      <w:r w:rsidRPr="00A52D60">
        <w:rPr>
          <w:rFonts w:ascii="SegoeUI" w:eastAsia="Times New Roman" w:hAnsi="SegoeUI" w:cs="Helvetica"/>
          <w:color w:val="767676"/>
          <w:sz w:val="24"/>
          <w:szCs w:val="24"/>
          <w:lang w:eastAsia="ru-RU"/>
        </w:rPr>
        <w:t>.</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proofErr w:type="gramStart"/>
      <w:r w:rsidRPr="00A52D60">
        <w:rPr>
          <w:rFonts w:ascii="SegoeUI" w:eastAsia="Times New Roman" w:hAnsi="SegoeUI" w:cs="Helvetica"/>
          <w:color w:val="767676"/>
          <w:sz w:val="24"/>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A52D60">
        <w:rPr>
          <w:rFonts w:ascii="SegoeUI" w:eastAsia="Times New Roman" w:hAnsi="SegoeUI" w:cs="Helvetica"/>
          <w:color w:val="767676"/>
          <w:sz w:val="24"/>
          <w:szCs w:val="24"/>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 </w:t>
      </w:r>
      <w:r w:rsidRPr="00A52D60">
        <w:rPr>
          <w:rFonts w:ascii="SegoeUI" w:eastAsia="Times New Roman" w:hAnsi="SegoeUI" w:cs="Helvetica"/>
          <w:color w:val="767676"/>
          <w:sz w:val="24"/>
          <w:szCs w:val="24"/>
          <w:lang w:eastAsia="ru-RU"/>
        </w:rPr>
        <w:br/>
      </w:r>
      <w:r w:rsidRPr="00A52D60">
        <w:rPr>
          <w:rFonts w:ascii="SegoeUI" w:eastAsia="Times New Roman" w:hAnsi="SegoeUI" w:cs="Helvetica"/>
          <w:color w:val="767676"/>
          <w:sz w:val="24"/>
          <w:szCs w:val="24"/>
          <w:lang w:eastAsia="ru-RU"/>
        </w:rPr>
        <w:br/>
      </w:r>
      <w:r w:rsidRPr="00A52D60">
        <w:rPr>
          <w:rFonts w:ascii="SegoeUI" w:eastAsia="Times New Roman" w:hAnsi="SegoeUI" w:cs="Helvetica"/>
          <w:b/>
          <w:bCs/>
          <w:color w:val="767676"/>
          <w:sz w:val="24"/>
          <w:szCs w:val="24"/>
          <w:lang w:eastAsia="ru-RU"/>
        </w:rPr>
        <w:t xml:space="preserve">Указываются </w:t>
      </w:r>
      <w:r w:rsidRPr="00A52D60">
        <w:rPr>
          <w:rFonts w:ascii="SegoeUI" w:eastAsia="Times New Roman" w:hAnsi="SegoeUI" w:cs="Helvetica"/>
          <w:color w:val="767676"/>
          <w:sz w:val="24"/>
          <w:szCs w:val="24"/>
          <w:lang w:eastAsia="ru-RU"/>
        </w:rPr>
        <w:t>доходы:</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по основному месту работы (общая сумма дохода, содержащаяся в справке № 2НДФЛ по месту службы);</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от педагогической деятельности (общая сумма дохода, содержащаяся в справке № 2НДФЛ по месту преподавания);</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от вкладов в банках и иных кредитных организациях (доход от денежных сре</w:t>
      </w:r>
      <w:proofErr w:type="gramStart"/>
      <w:r w:rsidRPr="00A52D60">
        <w:rPr>
          <w:rFonts w:ascii="SegoeUI" w:eastAsia="Times New Roman" w:hAnsi="SegoeUI" w:cs="Helvetica"/>
          <w:color w:val="767676"/>
          <w:sz w:val="24"/>
          <w:szCs w:val="24"/>
          <w:lang w:eastAsia="ru-RU"/>
        </w:rPr>
        <w:t>дств в в</w:t>
      </w:r>
      <w:proofErr w:type="gramEnd"/>
      <w:r w:rsidRPr="00A52D60">
        <w:rPr>
          <w:rFonts w:ascii="SegoeUI" w:eastAsia="Times New Roman" w:hAnsi="SegoeUI" w:cs="Helvetica"/>
          <w:color w:val="767676"/>
          <w:sz w:val="24"/>
          <w:szCs w:val="24"/>
          <w:lang w:eastAsia="ru-RU"/>
        </w:rPr>
        <w:t>алюте Российской Федерации или иностранной валюте, размещаемых служащим в целях хранения и получения дохода, от вклада в золото в банке);</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от ценных бумаг и долей участия в коммерческих организациях, включающие: </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proofErr w:type="gramStart"/>
      <w:r w:rsidRPr="00A52D60">
        <w:rPr>
          <w:rFonts w:ascii="SegoeUI" w:eastAsia="Times New Roman" w:hAnsi="SegoeUI" w:cs="Helvetica"/>
          <w:color w:val="767676"/>
          <w:sz w:val="24"/>
          <w:szCs w:val="24"/>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A52D60" w:rsidRPr="00A52D60" w:rsidRDefault="00A52D60" w:rsidP="00A52D60">
      <w:pPr>
        <w:numPr>
          <w:ilvl w:val="0"/>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 иные доходы: </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lastRenderedPageBreak/>
        <w:t>вознаграждение за выполнение трудовых или иных обязанностей, выполненную работу, оказанную услугу;</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государственный сертификат на материнский (семейный) капитал;</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денежные средства, выплаченные (перечисленные на счет) взамен выдачи полагающегося натурального довольствия;</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доходы, полученные от сдачи в аренду или иного использования имущества;</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A52D60">
        <w:rPr>
          <w:rFonts w:ascii="SegoeUI" w:eastAsia="Times New Roman" w:hAnsi="SegoeUI" w:cs="Helvetica"/>
          <w:color w:val="767676"/>
          <w:sz w:val="24"/>
          <w:szCs w:val="24"/>
          <w:lang w:eastAsia="ru-RU"/>
        </w:rPr>
        <w:t>дств св</w:t>
      </w:r>
      <w:proofErr w:type="gramEnd"/>
      <w:r w:rsidRPr="00A52D60">
        <w:rPr>
          <w:rFonts w:ascii="SegoeUI" w:eastAsia="Times New Roman" w:hAnsi="SegoeUI" w:cs="Helvetica"/>
          <w:color w:val="767676"/>
          <w:sz w:val="24"/>
          <w:szCs w:val="24"/>
          <w:lang w:eastAsia="ru-RU"/>
        </w:rPr>
        <w:t>язи, включая компьютерные сети;</w:t>
      </w:r>
    </w:p>
    <w:p w:rsidR="00A52D60" w:rsidRPr="00A52D60" w:rsidRDefault="00A52D60" w:rsidP="00A52D60">
      <w:pPr>
        <w:numPr>
          <w:ilvl w:val="1"/>
          <w:numId w:val="1"/>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b/>
          <w:bCs/>
          <w:color w:val="767676"/>
          <w:sz w:val="24"/>
          <w:szCs w:val="24"/>
          <w:lang w:eastAsia="ru-RU"/>
        </w:rPr>
        <w:t>Не подлежат указанию</w:t>
      </w:r>
      <w:r w:rsidRPr="00A52D60">
        <w:rPr>
          <w:rFonts w:ascii="SegoeUI" w:eastAsia="Times New Roman" w:hAnsi="SegoeUI" w:cs="Helvetica"/>
          <w:color w:val="767676"/>
          <w:sz w:val="24"/>
          <w:szCs w:val="24"/>
          <w:lang w:eastAsia="ru-RU"/>
        </w:rPr>
        <w:t xml:space="preserve"> в разделе I справки следующие виды доходов:</w:t>
      </w:r>
    </w:p>
    <w:p w:rsidR="00A52D60" w:rsidRPr="00A52D60" w:rsidRDefault="00A52D60" w:rsidP="00A52D60">
      <w:pPr>
        <w:numPr>
          <w:ilvl w:val="0"/>
          <w:numId w:val="2"/>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возмещенные суммы расходов, связанных со служебными командировками;</w:t>
      </w:r>
    </w:p>
    <w:p w:rsidR="00A52D60" w:rsidRPr="00A52D60" w:rsidRDefault="00A52D60" w:rsidP="00A52D60">
      <w:pPr>
        <w:numPr>
          <w:ilvl w:val="0"/>
          <w:numId w:val="2"/>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A52D60" w:rsidRPr="00A52D60" w:rsidRDefault="00A52D60" w:rsidP="00A52D60">
      <w:pPr>
        <w:numPr>
          <w:ilvl w:val="0"/>
          <w:numId w:val="2"/>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сумма социального и имущественного налогового вычета, получаемая государственным служащим как налогоплательщиком.</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Порядок заполнения</w:t>
      </w:r>
      <w:r w:rsidRPr="00A52D60">
        <w:rPr>
          <w:rFonts w:ascii="SegoeUI" w:eastAsia="Times New Roman" w:hAnsi="SegoeUI" w:cs="Helvetica"/>
          <w:b/>
          <w:bCs/>
          <w:color w:val="767676"/>
          <w:sz w:val="24"/>
          <w:szCs w:val="24"/>
          <w:lang w:eastAsia="ru-RU"/>
        </w:rPr>
        <w:t xml:space="preserve"> раздела 2 «Сведения об имуществе».</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i/>
          <w:iCs/>
          <w:color w:val="767676"/>
          <w:sz w:val="24"/>
          <w:szCs w:val="24"/>
          <w:lang w:eastAsia="ru-RU"/>
        </w:rPr>
        <w:t>Подраздел 2.1. Недвижимое имущество.</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w:t>
      </w:r>
      <w:r w:rsidRPr="00A52D60">
        <w:rPr>
          <w:rFonts w:ascii="SegoeUI" w:eastAsia="Times New Roman" w:hAnsi="SegoeUI" w:cs="Helvetica"/>
          <w:color w:val="767676"/>
          <w:sz w:val="24"/>
          <w:szCs w:val="24"/>
          <w:lang w:eastAsia="ru-RU"/>
        </w:rPr>
        <w:lastRenderedPageBreak/>
        <w:t>того, когда они были приобретены, в каком регионе Российской Федерации или каком государстве зарегистрированы.</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i/>
          <w:iCs/>
          <w:color w:val="767676"/>
          <w:sz w:val="24"/>
          <w:szCs w:val="24"/>
          <w:lang w:eastAsia="ru-RU"/>
        </w:rPr>
        <w:t>Подраздел 2.2.Транспортные средства.</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A52D60">
        <w:rPr>
          <w:rFonts w:ascii="SegoeUI" w:eastAsia="Times New Roman" w:hAnsi="SegoeUI" w:cs="Helvetica"/>
          <w:color w:val="767676"/>
          <w:sz w:val="24"/>
          <w:szCs w:val="24"/>
          <w:lang w:eastAsia="ru-RU"/>
        </w:rPr>
        <w:t>мототранспортные</w:t>
      </w:r>
      <w:proofErr w:type="spellEnd"/>
      <w:r w:rsidRPr="00A52D60">
        <w:rPr>
          <w:rFonts w:ascii="SegoeUI" w:eastAsia="Times New Roman" w:hAnsi="SegoeUI" w:cs="Helvetica"/>
          <w:color w:val="767676"/>
          <w:sz w:val="24"/>
          <w:szCs w:val="24"/>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 </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Порядок заполнения </w:t>
      </w:r>
      <w:r w:rsidRPr="00A52D60">
        <w:rPr>
          <w:rFonts w:ascii="SegoeUI" w:eastAsia="Times New Roman" w:hAnsi="SegoeUI" w:cs="Helvetica"/>
          <w:b/>
          <w:bCs/>
          <w:color w:val="767676"/>
          <w:sz w:val="24"/>
          <w:szCs w:val="24"/>
          <w:lang w:eastAsia="ru-RU"/>
        </w:rPr>
        <w:t>раздела 3</w:t>
      </w:r>
      <w:r w:rsidRPr="00A52D60">
        <w:rPr>
          <w:rFonts w:ascii="SegoeUI" w:eastAsia="Times New Roman" w:hAnsi="SegoeUI" w:cs="Helvetica"/>
          <w:color w:val="767676"/>
          <w:sz w:val="24"/>
          <w:szCs w:val="24"/>
          <w:lang w:eastAsia="ru-RU"/>
        </w:rPr>
        <w:t xml:space="preserve"> </w:t>
      </w:r>
      <w:r w:rsidRPr="00A52D60">
        <w:rPr>
          <w:rFonts w:ascii="SegoeUI" w:eastAsia="Times New Roman" w:hAnsi="SegoeUI" w:cs="Helvetica"/>
          <w:b/>
          <w:bCs/>
          <w:color w:val="767676"/>
          <w:sz w:val="24"/>
          <w:szCs w:val="24"/>
          <w:lang w:eastAsia="ru-RU"/>
        </w:rPr>
        <w:t>«Сведения о денежных средствах, находящихся на счетах в банках и иных кредитных организациях»</w:t>
      </w:r>
      <w:r w:rsidRPr="00A52D60">
        <w:rPr>
          <w:rFonts w:ascii="SegoeUI" w:eastAsia="Times New Roman" w:hAnsi="SegoeUI" w:cs="Helvetica"/>
          <w:color w:val="767676"/>
          <w:sz w:val="24"/>
          <w:szCs w:val="24"/>
          <w:lang w:eastAsia="ru-RU"/>
        </w:rPr>
        <w:t>.</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A52D60">
        <w:rPr>
          <w:rFonts w:ascii="SegoeUI" w:eastAsia="Times New Roman" w:hAnsi="SegoeUI" w:cs="Helvetica"/>
          <w:color w:val="767676"/>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Государственные служащие, являющиеся держателями </w:t>
      </w:r>
      <w:proofErr w:type="spellStart"/>
      <w:r w:rsidRPr="00A52D60">
        <w:rPr>
          <w:rFonts w:ascii="SegoeUI" w:eastAsia="Times New Roman" w:hAnsi="SegoeUI" w:cs="Helvetica"/>
          <w:color w:val="767676"/>
          <w:sz w:val="24"/>
          <w:szCs w:val="24"/>
          <w:lang w:eastAsia="ru-RU"/>
        </w:rPr>
        <w:t>зарплатных</w:t>
      </w:r>
      <w:proofErr w:type="spellEnd"/>
      <w:r w:rsidRPr="00A52D60">
        <w:rPr>
          <w:rFonts w:ascii="SegoeUI" w:eastAsia="Times New Roman" w:hAnsi="SegoeUI" w:cs="Helvetica"/>
          <w:color w:val="767676"/>
          <w:sz w:val="24"/>
          <w:szCs w:val="24"/>
          <w:lang w:eastAsia="ru-RU"/>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Порядок заполнения </w:t>
      </w:r>
      <w:r w:rsidRPr="00A52D60">
        <w:rPr>
          <w:rFonts w:ascii="SegoeUI" w:eastAsia="Times New Roman" w:hAnsi="SegoeUI" w:cs="Helvetica"/>
          <w:b/>
          <w:bCs/>
          <w:color w:val="767676"/>
          <w:sz w:val="24"/>
          <w:szCs w:val="24"/>
          <w:lang w:eastAsia="ru-RU"/>
        </w:rPr>
        <w:t>раздела 4</w:t>
      </w:r>
      <w:r w:rsidRPr="00A52D60">
        <w:rPr>
          <w:rFonts w:ascii="SegoeUI" w:eastAsia="Times New Roman" w:hAnsi="SegoeUI" w:cs="Helvetica"/>
          <w:color w:val="767676"/>
          <w:sz w:val="24"/>
          <w:szCs w:val="24"/>
          <w:lang w:eastAsia="ru-RU"/>
        </w:rPr>
        <w:t xml:space="preserve"> </w:t>
      </w:r>
      <w:r w:rsidRPr="00A52D60">
        <w:rPr>
          <w:rFonts w:ascii="SegoeUI" w:eastAsia="Times New Roman" w:hAnsi="SegoeUI" w:cs="Helvetica"/>
          <w:b/>
          <w:bCs/>
          <w:color w:val="767676"/>
          <w:sz w:val="24"/>
          <w:szCs w:val="24"/>
          <w:lang w:eastAsia="ru-RU"/>
        </w:rPr>
        <w:t>«Сведения о ценных бумагах»</w:t>
      </w:r>
      <w:r w:rsidRPr="00A52D60">
        <w:rPr>
          <w:rFonts w:ascii="SegoeUI" w:eastAsia="Times New Roman" w:hAnsi="SegoeUI" w:cs="Helvetica"/>
          <w:color w:val="767676"/>
          <w:sz w:val="24"/>
          <w:szCs w:val="24"/>
          <w:lang w:eastAsia="ru-RU"/>
        </w:rPr>
        <w:t>.</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При заполнении данного раздела необходимо учитывать следующее.</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proofErr w:type="gramStart"/>
      <w:r w:rsidRPr="00A52D60">
        <w:rPr>
          <w:rFonts w:ascii="SegoeUI" w:eastAsia="Times New Roman" w:hAnsi="SegoeUI" w:cs="Helvetica"/>
          <w:color w:val="767676"/>
          <w:sz w:val="24"/>
          <w:szCs w:val="24"/>
          <w:lang w:eastAsia="ru-RU"/>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w:t>
      </w:r>
      <w:r w:rsidRPr="00A52D60">
        <w:rPr>
          <w:rFonts w:ascii="SegoeUI" w:eastAsia="Times New Roman" w:hAnsi="SegoeUI" w:cs="Helvetica"/>
          <w:color w:val="767676"/>
          <w:sz w:val="24"/>
          <w:szCs w:val="24"/>
          <w:lang w:eastAsia="ru-RU"/>
        </w:rPr>
        <w:lastRenderedPageBreak/>
        <w:t>Гражданским кодексом Российской Федерации на основании договора доверительного управления имуществом.</w:t>
      </w:r>
      <w:proofErr w:type="gramEnd"/>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Порядок заполнения </w:t>
      </w:r>
      <w:r w:rsidRPr="00A52D60">
        <w:rPr>
          <w:rFonts w:ascii="SegoeUI" w:eastAsia="Times New Roman" w:hAnsi="SegoeUI" w:cs="Helvetica"/>
          <w:b/>
          <w:bCs/>
          <w:color w:val="767676"/>
          <w:sz w:val="24"/>
          <w:szCs w:val="24"/>
          <w:lang w:eastAsia="ru-RU"/>
        </w:rPr>
        <w:t>раздела 5</w:t>
      </w:r>
      <w:r w:rsidRPr="00A52D60">
        <w:rPr>
          <w:rFonts w:ascii="SegoeUI" w:eastAsia="Times New Roman" w:hAnsi="SegoeUI" w:cs="Helvetica"/>
          <w:color w:val="767676"/>
          <w:sz w:val="24"/>
          <w:szCs w:val="24"/>
          <w:lang w:eastAsia="ru-RU"/>
        </w:rPr>
        <w:t xml:space="preserve"> </w:t>
      </w:r>
      <w:r w:rsidRPr="00A52D60">
        <w:rPr>
          <w:rFonts w:ascii="SegoeUI" w:eastAsia="Times New Roman" w:hAnsi="SegoeUI" w:cs="Helvetica"/>
          <w:b/>
          <w:bCs/>
          <w:color w:val="767676"/>
          <w:sz w:val="24"/>
          <w:szCs w:val="24"/>
          <w:lang w:eastAsia="ru-RU"/>
        </w:rPr>
        <w:t>«Сведения об обязательствах имущественного характера».</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i/>
          <w:iCs/>
          <w:color w:val="767676"/>
          <w:sz w:val="24"/>
          <w:szCs w:val="24"/>
          <w:lang w:eastAsia="ru-RU"/>
        </w:rPr>
        <w:t xml:space="preserve">Подраздел 5.1. Объекты недвижимого имущества, находящиеся в пользовании. </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proofErr w:type="gramStart"/>
      <w:r w:rsidRPr="00A52D60">
        <w:rPr>
          <w:rFonts w:ascii="SegoeUI" w:eastAsia="Times New Roman" w:hAnsi="SegoeUI" w:cs="Helvetica"/>
          <w:color w:val="767676"/>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A52D60">
        <w:rPr>
          <w:rFonts w:ascii="SegoeUI" w:eastAsia="Times New Roman" w:hAnsi="SegoeUI" w:cs="Helvetica"/>
          <w:color w:val="767676"/>
          <w:sz w:val="24"/>
          <w:szCs w:val="24"/>
          <w:lang w:eastAsia="ru-RU"/>
        </w:rPr>
        <w:t xml:space="preserve"> При этом указывается общая площадь объекта недвижимого имущества, находящегося в пользовании.</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Подлежат указанию сведения:</w:t>
      </w:r>
    </w:p>
    <w:p w:rsidR="00A52D60" w:rsidRPr="00A52D60" w:rsidRDefault="00A52D60" w:rsidP="00A52D60">
      <w:pPr>
        <w:numPr>
          <w:ilvl w:val="0"/>
          <w:numId w:val="3"/>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A52D60" w:rsidRPr="00A52D60" w:rsidRDefault="00A52D60" w:rsidP="00A52D60">
      <w:pPr>
        <w:numPr>
          <w:ilvl w:val="0"/>
          <w:numId w:val="3"/>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 квартирах, занимаемых по договору аренды (найма, поднайма) жилого помещения;</w:t>
      </w:r>
    </w:p>
    <w:p w:rsidR="00A52D60" w:rsidRPr="00A52D60" w:rsidRDefault="00A52D60" w:rsidP="00A52D60">
      <w:pPr>
        <w:numPr>
          <w:ilvl w:val="0"/>
          <w:numId w:val="3"/>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 квартирах, занимаемых по договорам социального найма.</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В подразделе 5.1 </w:t>
      </w:r>
      <w:r w:rsidRPr="00A52D60">
        <w:rPr>
          <w:rFonts w:ascii="SegoeUI" w:eastAsia="Times New Roman" w:hAnsi="SegoeUI" w:cs="Helvetica"/>
          <w:b/>
          <w:bCs/>
          <w:color w:val="767676"/>
          <w:sz w:val="24"/>
          <w:szCs w:val="24"/>
          <w:lang w:eastAsia="ru-RU"/>
        </w:rPr>
        <w:t>не указывается</w:t>
      </w:r>
      <w:r w:rsidRPr="00A52D60">
        <w:rPr>
          <w:rFonts w:ascii="SegoeUI" w:eastAsia="Times New Roman" w:hAnsi="SegoeUI" w:cs="Helvetica"/>
          <w:color w:val="767676"/>
          <w:sz w:val="24"/>
          <w:szCs w:val="24"/>
          <w:lang w:eastAsia="ru-RU"/>
        </w:rPr>
        <w:t xml:space="preserve"> имущество, которое находится в собственности и указано в подразделе 2.1 справки.</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i/>
          <w:iCs/>
          <w:color w:val="767676"/>
          <w:sz w:val="24"/>
          <w:szCs w:val="24"/>
          <w:lang w:eastAsia="ru-RU"/>
        </w:rPr>
        <w:t xml:space="preserve">Подраздел 5.2. Прочие обязательства. </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A52D60">
        <w:rPr>
          <w:rFonts w:ascii="SegoeUI" w:eastAsia="Times New Roman" w:hAnsi="SegoeUI" w:cs="Helvetica"/>
          <w:color w:val="767676"/>
          <w:sz w:val="24"/>
          <w:szCs w:val="24"/>
          <w:lang w:eastAsia="ru-RU"/>
        </w:rPr>
        <w:t>размере оплаты труда</w:t>
      </w:r>
      <w:proofErr w:type="gramEnd"/>
      <w:r w:rsidRPr="00A52D60">
        <w:rPr>
          <w:rFonts w:ascii="SegoeUI" w:eastAsia="Times New Roman" w:hAnsi="SegoeUI" w:cs="Helvetica"/>
          <w:color w:val="767676"/>
          <w:sz w:val="24"/>
          <w:szCs w:val="24"/>
          <w:lang w:eastAsia="ru-RU"/>
        </w:rPr>
        <w:t>» минимальный размер оплаты труда с 1 июня 2011 года составляет 4 611 рублей в месяц (по состоянию на 1 января 2012 года).</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Подлежат указанию:</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A52D60" w:rsidRPr="00A52D60" w:rsidRDefault="00A52D60" w:rsidP="00A52D60">
      <w:pPr>
        <w:numPr>
          <w:ilvl w:val="0"/>
          <w:numId w:val="4"/>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договора финансовой аренды;</w:t>
      </w:r>
    </w:p>
    <w:p w:rsidR="00A52D60" w:rsidRPr="00A52D60" w:rsidRDefault="00A52D60" w:rsidP="00A52D60">
      <w:pPr>
        <w:numPr>
          <w:ilvl w:val="0"/>
          <w:numId w:val="4"/>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договора займа;</w:t>
      </w:r>
    </w:p>
    <w:p w:rsidR="00A52D60" w:rsidRPr="00A52D60" w:rsidRDefault="00A52D60" w:rsidP="00A52D60">
      <w:pPr>
        <w:numPr>
          <w:ilvl w:val="0"/>
          <w:numId w:val="4"/>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договора финансирования под уступку денежного требования;</w:t>
      </w:r>
    </w:p>
    <w:p w:rsidR="00A52D60" w:rsidRPr="00A52D60" w:rsidRDefault="00A52D60" w:rsidP="00A52D60">
      <w:pPr>
        <w:numPr>
          <w:ilvl w:val="0"/>
          <w:numId w:val="4"/>
        </w:numPr>
        <w:spacing w:before="100" w:beforeAutospacing="1" w:after="100" w:afterAutospacing="1"/>
        <w:ind w:right="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обязательства вследствие причинения вреда (финансовые) и т.д.</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lastRenderedPageBreak/>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b/>
          <w:bCs/>
          <w:color w:val="767676"/>
          <w:sz w:val="24"/>
          <w:szCs w:val="24"/>
          <w:lang w:eastAsia="ru-RU"/>
        </w:rPr>
        <w:t>Дополнительно сообщаем.</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proofErr w:type="gramStart"/>
      <w:r w:rsidRPr="00A52D60">
        <w:rPr>
          <w:rFonts w:ascii="SegoeUI" w:eastAsia="Times New Roman" w:hAnsi="SegoeUI" w:cs="Helvetica"/>
          <w:color w:val="767676"/>
          <w:sz w:val="24"/>
          <w:szCs w:val="24"/>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A52D60">
        <w:rPr>
          <w:rFonts w:ascii="SegoeUI" w:eastAsia="Times New Roman" w:hAnsi="SegoeUI" w:cs="Helvetica"/>
          <w:color w:val="767676"/>
          <w:sz w:val="24"/>
          <w:szCs w:val="24"/>
          <w:lang w:eastAsia="ru-RU"/>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A52D60" w:rsidRPr="00A52D60" w:rsidRDefault="00A52D60" w:rsidP="00A52D60">
      <w:pPr>
        <w:spacing w:after="150"/>
        <w:ind w:left="0" w:right="0" w:firstLine="0"/>
        <w:rPr>
          <w:rFonts w:ascii="SegoeUI" w:eastAsia="Times New Roman" w:hAnsi="SegoeUI" w:cs="Helvetica"/>
          <w:color w:val="B3B3B3"/>
          <w:sz w:val="24"/>
          <w:szCs w:val="24"/>
          <w:lang w:eastAsia="ru-RU"/>
        </w:rPr>
      </w:pPr>
      <w:r w:rsidRPr="00A52D60">
        <w:rPr>
          <w:rFonts w:ascii="SegoeUI" w:eastAsia="Times New Roman" w:hAnsi="SegoeUI" w:cs="Helvetica"/>
          <w:color w:val="B3B3B3"/>
          <w:sz w:val="24"/>
          <w:szCs w:val="24"/>
          <w:lang w:eastAsia="ru-RU"/>
        </w:rPr>
        <w:t>Дата и время размещения:</w:t>
      </w:r>
    </w:p>
    <w:p w:rsidR="00A52D60" w:rsidRPr="00A52D60" w:rsidRDefault="00A52D60" w:rsidP="00A52D60">
      <w:pPr>
        <w:spacing w:after="150"/>
        <w:ind w:left="0" w:right="0" w:firstLine="0"/>
        <w:rPr>
          <w:rFonts w:ascii="SegoeUI" w:eastAsia="Times New Roman" w:hAnsi="SegoeUI" w:cs="Helvetica"/>
          <w:color w:val="767676"/>
          <w:sz w:val="24"/>
          <w:szCs w:val="24"/>
          <w:lang w:eastAsia="ru-RU"/>
        </w:rPr>
      </w:pPr>
      <w:r w:rsidRPr="00A52D60">
        <w:rPr>
          <w:rFonts w:ascii="SegoeUI" w:eastAsia="Times New Roman" w:hAnsi="SegoeUI" w:cs="Helvetica"/>
          <w:color w:val="767676"/>
          <w:sz w:val="24"/>
          <w:szCs w:val="24"/>
          <w:lang w:eastAsia="ru-RU"/>
        </w:rPr>
        <w:t>18 июня 2013 04:00</w:t>
      </w:r>
    </w:p>
    <w:p w:rsidR="00A52D60" w:rsidRPr="00A52D60" w:rsidRDefault="00A52D60" w:rsidP="00A52D60">
      <w:pPr>
        <w:ind w:left="0" w:right="0" w:firstLine="0"/>
        <w:rPr>
          <w:rFonts w:ascii="SegoeUI" w:eastAsia="Times New Roman" w:hAnsi="SegoeUI" w:cs="Helvetica"/>
          <w:color w:val="B3B3B3"/>
          <w:sz w:val="24"/>
          <w:szCs w:val="24"/>
          <w:lang w:eastAsia="ru-RU"/>
        </w:rPr>
      </w:pPr>
      <w:r w:rsidRPr="00A52D60">
        <w:rPr>
          <w:rFonts w:ascii="SegoeUI" w:eastAsia="Times New Roman" w:hAnsi="SegoeUI" w:cs="Helvetica"/>
          <w:color w:val="B3B3B3"/>
          <w:sz w:val="24"/>
          <w:szCs w:val="24"/>
          <w:lang w:eastAsia="ru-RU"/>
        </w:rPr>
        <w:t>Дата и время изменения:</w:t>
      </w: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SegoeU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41FD"/>
    <w:multiLevelType w:val="multilevel"/>
    <w:tmpl w:val="AA9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E38B7"/>
    <w:multiLevelType w:val="multilevel"/>
    <w:tmpl w:val="E32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156FF"/>
    <w:multiLevelType w:val="multilevel"/>
    <w:tmpl w:val="9CE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B1A3D"/>
    <w:multiLevelType w:val="multilevel"/>
    <w:tmpl w:val="B7BA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D60"/>
    <w:rsid w:val="00122250"/>
    <w:rsid w:val="0015201E"/>
    <w:rsid w:val="00275C7E"/>
    <w:rsid w:val="00306373"/>
    <w:rsid w:val="006447D4"/>
    <w:rsid w:val="006C78BB"/>
    <w:rsid w:val="006D5F61"/>
    <w:rsid w:val="00A44BCF"/>
    <w:rsid w:val="00A52D60"/>
    <w:rsid w:val="00A81BDC"/>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27"/>
  </w:style>
  <w:style w:type="paragraph" w:styleId="1">
    <w:name w:val="heading 1"/>
    <w:basedOn w:val="a"/>
    <w:link w:val="10"/>
    <w:uiPriority w:val="9"/>
    <w:qFormat/>
    <w:rsid w:val="00A52D60"/>
    <w:pPr>
      <w:spacing w:before="300" w:after="150"/>
      <w:ind w:left="0" w:right="0" w:firstLine="0"/>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D60"/>
    <w:rPr>
      <w:rFonts w:ascii="inherit" w:eastAsia="Times New Roman" w:hAnsi="inherit" w:cs="Times New Roman"/>
      <w:b/>
      <w:bCs/>
      <w:kern w:val="36"/>
      <w:sz w:val="54"/>
      <w:szCs w:val="54"/>
      <w:lang w:eastAsia="ru-RU"/>
    </w:rPr>
  </w:style>
  <w:style w:type="character" w:styleId="a3">
    <w:name w:val="Emphasis"/>
    <w:basedOn w:val="a0"/>
    <w:uiPriority w:val="20"/>
    <w:qFormat/>
    <w:rsid w:val="00A52D60"/>
    <w:rPr>
      <w:i/>
      <w:iCs/>
    </w:rPr>
  </w:style>
  <w:style w:type="character" w:styleId="a4">
    <w:name w:val="Strong"/>
    <w:basedOn w:val="a0"/>
    <w:uiPriority w:val="22"/>
    <w:qFormat/>
    <w:rsid w:val="00A52D60"/>
    <w:rPr>
      <w:b/>
      <w:bCs/>
    </w:rPr>
  </w:style>
  <w:style w:type="paragraph" w:styleId="a5">
    <w:name w:val="Normal (Web)"/>
    <w:basedOn w:val="a"/>
    <w:uiPriority w:val="99"/>
    <w:semiHidden/>
    <w:unhideWhenUsed/>
    <w:rsid w:val="00A52D60"/>
    <w:pPr>
      <w:spacing w:after="150"/>
      <w:ind w:left="0" w:right="0" w:firstLine="0"/>
    </w:pPr>
    <w:rPr>
      <w:rFonts w:ascii="Times New Roman" w:eastAsia="Times New Roman" w:hAnsi="Times New Roman" w:cs="Times New Roman"/>
      <w:sz w:val="24"/>
      <w:szCs w:val="24"/>
      <w:lang w:eastAsia="ru-RU"/>
    </w:rPr>
  </w:style>
  <w:style w:type="paragraph" w:customStyle="1" w:styleId="text-light">
    <w:name w:val="text-light"/>
    <w:basedOn w:val="a"/>
    <w:rsid w:val="00A52D60"/>
    <w:pPr>
      <w:spacing w:after="150"/>
      <w:ind w:left="0" w:right="0" w:firstLine="0"/>
    </w:pPr>
    <w:rPr>
      <w:rFonts w:ascii="Times New Roman" w:eastAsia="Times New Roman" w:hAnsi="Times New Roman" w:cs="Times New Roman"/>
      <w:color w:val="B3B3B3"/>
      <w:sz w:val="24"/>
      <w:szCs w:val="24"/>
      <w:lang w:eastAsia="ru-RU"/>
    </w:rPr>
  </w:style>
  <w:style w:type="paragraph" w:customStyle="1" w:styleId="pd-bottom-15">
    <w:name w:val="pd-bottom-15"/>
    <w:basedOn w:val="a"/>
    <w:rsid w:val="00A52D60"/>
    <w:pPr>
      <w:spacing w:after="150"/>
      <w:ind w:left="0" w:right="0"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0519500">
      <w:bodyDiv w:val="1"/>
      <w:marLeft w:val="0"/>
      <w:marRight w:val="0"/>
      <w:marTop w:val="0"/>
      <w:marBottom w:val="0"/>
      <w:divBdr>
        <w:top w:val="none" w:sz="0" w:space="0" w:color="auto"/>
        <w:left w:val="none" w:sz="0" w:space="0" w:color="auto"/>
        <w:bottom w:val="none" w:sz="0" w:space="0" w:color="auto"/>
        <w:right w:val="none" w:sz="0" w:space="0" w:color="auto"/>
      </w:divBdr>
      <w:divsChild>
        <w:div w:id="1339040399">
          <w:marLeft w:val="0"/>
          <w:marRight w:val="0"/>
          <w:marTop w:val="0"/>
          <w:marBottom w:val="0"/>
          <w:divBdr>
            <w:top w:val="none" w:sz="0" w:space="0" w:color="auto"/>
            <w:left w:val="none" w:sz="0" w:space="0" w:color="auto"/>
            <w:bottom w:val="none" w:sz="0" w:space="0" w:color="auto"/>
            <w:right w:val="none" w:sz="0" w:space="0" w:color="auto"/>
          </w:divBdr>
          <w:divsChild>
            <w:div w:id="1999065603">
              <w:marLeft w:val="0"/>
              <w:marRight w:val="0"/>
              <w:marTop w:val="0"/>
              <w:marBottom w:val="0"/>
              <w:divBdr>
                <w:top w:val="none" w:sz="0" w:space="0" w:color="auto"/>
                <w:left w:val="none" w:sz="0" w:space="0" w:color="auto"/>
                <w:bottom w:val="none" w:sz="0" w:space="0" w:color="auto"/>
                <w:right w:val="none" w:sz="0" w:space="0" w:color="auto"/>
              </w:divBdr>
              <w:divsChild>
                <w:div w:id="1839811902">
                  <w:marLeft w:val="0"/>
                  <w:marRight w:val="0"/>
                  <w:marTop w:val="0"/>
                  <w:marBottom w:val="0"/>
                  <w:divBdr>
                    <w:top w:val="none" w:sz="0" w:space="0" w:color="auto"/>
                    <w:left w:val="none" w:sz="0" w:space="0" w:color="auto"/>
                    <w:bottom w:val="none" w:sz="0" w:space="0" w:color="auto"/>
                    <w:right w:val="none" w:sz="0" w:space="0" w:color="auto"/>
                  </w:divBdr>
                  <w:divsChild>
                    <w:div w:id="1186481530">
                      <w:marLeft w:val="0"/>
                      <w:marRight w:val="0"/>
                      <w:marTop w:val="0"/>
                      <w:marBottom w:val="0"/>
                      <w:divBdr>
                        <w:top w:val="none" w:sz="0" w:space="0" w:color="auto"/>
                        <w:left w:val="none" w:sz="0" w:space="0" w:color="auto"/>
                        <w:bottom w:val="none" w:sz="0" w:space="0" w:color="auto"/>
                        <w:right w:val="none" w:sz="0" w:space="0" w:color="auto"/>
                      </w:divBdr>
                      <w:divsChild>
                        <w:div w:id="1601716137">
                          <w:marLeft w:val="0"/>
                          <w:marRight w:val="0"/>
                          <w:marTop w:val="0"/>
                          <w:marBottom w:val="0"/>
                          <w:divBdr>
                            <w:top w:val="none" w:sz="0" w:space="0" w:color="auto"/>
                            <w:left w:val="none" w:sz="0" w:space="0" w:color="auto"/>
                            <w:bottom w:val="none" w:sz="0" w:space="0" w:color="auto"/>
                            <w:right w:val="none" w:sz="0" w:space="0" w:color="auto"/>
                          </w:divBdr>
                          <w:divsChild>
                            <w:div w:id="16156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4487">
                  <w:marLeft w:val="0"/>
                  <w:marRight w:val="0"/>
                  <w:marTop w:val="0"/>
                  <w:marBottom w:val="900"/>
                  <w:divBdr>
                    <w:top w:val="single" w:sz="6" w:space="29" w:color="EDEDED"/>
                    <w:left w:val="single" w:sz="6" w:space="23" w:color="EDEDED"/>
                    <w:bottom w:val="single" w:sz="6" w:space="25" w:color="EDEDED"/>
                    <w:right w:val="single" w:sz="6" w:space="23" w:color="EDEDE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10718</Characters>
  <Application>Microsoft Office Word</Application>
  <DocSecurity>0</DocSecurity>
  <Lines>89</Lines>
  <Paragraphs>25</Paragraphs>
  <ScaleCrop>false</ScaleCrop>
  <Company>Reanimator Extreme Edition</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2019-04-17T06:34:00Z</dcterms:created>
  <dcterms:modified xsi:type="dcterms:W3CDTF">2019-04-17T06:36:00Z</dcterms:modified>
</cp:coreProperties>
</file>